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78C" w:rsidRPr="00B84B3A" w:rsidRDefault="0011078C" w:rsidP="00B84B3A">
      <w:pPr>
        <w:jc w:val="both"/>
        <w:rPr>
          <w:rFonts w:ascii="Tahoma" w:hAnsi="Tahoma" w:cs="Tahoma"/>
          <w:b/>
          <w:sz w:val="26"/>
        </w:rPr>
      </w:pPr>
      <w:r w:rsidRPr="00B84B3A">
        <w:rPr>
          <w:rFonts w:ascii="Tahoma" w:hAnsi="Tahoma" w:cs="Tahoma"/>
          <w:b/>
          <w:sz w:val="26"/>
        </w:rPr>
        <w:t>Talking Points on the Alternative Mining Bills</w:t>
      </w:r>
    </w:p>
    <w:p w:rsidR="00B84B3A" w:rsidRDefault="00B84B3A" w:rsidP="00B84B3A">
      <w:pPr>
        <w:jc w:val="both"/>
        <w:rPr>
          <w:rFonts w:ascii="Tahoma" w:hAnsi="Tahoma" w:cs="Tahoma"/>
          <w:sz w:val="26"/>
        </w:rPr>
      </w:pPr>
      <w:r w:rsidRPr="00B84B3A">
        <w:rPr>
          <w:rFonts w:ascii="Tahoma" w:hAnsi="Tahoma" w:cs="Tahoma"/>
        </w:rPr>
        <w:t xml:space="preserve">● </w:t>
      </w:r>
      <w:proofErr w:type="gramStart"/>
      <w:r w:rsidR="0011078C" w:rsidRPr="00B84B3A">
        <w:rPr>
          <w:rFonts w:ascii="Tahoma" w:hAnsi="Tahoma" w:cs="Tahoma"/>
          <w:sz w:val="26"/>
        </w:rPr>
        <w:t>We</w:t>
      </w:r>
      <w:proofErr w:type="gramEnd"/>
      <w:r w:rsidR="0011078C" w:rsidRPr="00B84B3A">
        <w:rPr>
          <w:rFonts w:ascii="Tahoma" w:hAnsi="Tahoma" w:cs="Tahoma"/>
          <w:sz w:val="26"/>
        </w:rPr>
        <w:t xml:space="preserve"> must stress the point that the current Mining Act (RA7942) is a world-class piece of legislation that already balances the interests not only of the mining industry and the State, but also fully considers the rights of host communities, indigenous pe</w:t>
      </w:r>
      <w:bookmarkStart w:id="0" w:name="_GoBack"/>
      <w:bookmarkEnd w:id="0"/>
      <w:r w:rsidR="0011078C" w:rsidRPr="00B84B3A">
        <w:rPr>
          <w:rFonts w:ascii="Tahoma" w:hAnsi="Tahoma" w:cs="Tahoma"/>
          <w:sz w:val="26"/>
        </w:rPr>
        <w:t xml:space="preserve">oples, and the environment. </w:t>
      </w:r>
    </w:p>
    <w:p w:rsidR="00B84B3A" w:rsidRPr="007A3896" w:rsidRDefault="00B84B3A" w:rsidP="00B84B3A">
      <w:pPr>
        <w:jc w:val="both"/>
        <w:rPr>
          <w:rFonts w:ascii="Tahoma" w:hAnsi="Tahoma" w:cs="Tahoma"/>
          <w:sz w:val="26"/>
        </w:rPr>
      </w:pPr>
      <w:r w:rsidRPr="007A3896">
        <w:rPr>
          <w:rFonts w:ascii="Tahoma" w:hAnsi="Tahoma" w:cs="Tahoma"/>
          <w:sz w:val="26"/>
        </w:rPr>
        <w:t xml:space="preserve">● </w:t>
      </w:r>
      <w:proofErr w:type="gramStart"/>
      <w:r w:rsidRPr="007A3896">
        <w:rPr>
          <w:rFonts w:ascii="Tahoma" w:hAnsi="Tahoma" w:cs="Tahoma"/>
          <w:sz w:val="26"/>
        </w:rPr>
        <w:t>The</w:t>
      </w:r>
      <w:proofErr w:type="gramEnd"/>
      <w:r w:rsidRPr="007A3896">
        <w:rPr>
          <w:rFonts w:ascii="Tahoma" w:hAnsi="Tahoma" w:cs="Tahoma"/>
          <w:sz w:val="26"/>
        </w:rPr>
        <w:t xml:space="preserve"> concerns raised by proponents as the rationale for repealing/amending the Mining Act are already more than adequately addressed by the </w:t>
      </w:r>
      <w:r w:rsidR="007F2BFF">
        <w:rPr>
          <w:rFonts w:ascii="Tahoma" w:hAnsi="Tahoma" w:cs="Tahoma"/>
          <w:sz w:val="26"/>
        </w:rPr>
        <w:t xml:space="preserve">existing </w:t>
      </w:r>
      <w:r w:rsidRPr="007A3896">
        <w:rPr>
          <w:rFonts w:ascii="Tahoma" w:hAnsi="Tahoma" w:cs="Tahoma"/>
          <w:sz w:val="26"/>
        </w:rPr>
        <w:t xml:space="preserve">law. In fact, the Mining Act and its IRR have laid down a </w:t>
      </w:r>
      <w:r w:rsidR="007A3896" w:rsidRPr="007A3896">
        <w:rPr>
          <w:rFonts w:ascii="Tahoma" w:hAnsi="Tahoma" w:cs="Tahoma"/>
          <w:sz w:val="26"/>
        </w:rPr>
        <w:t xml:space="preserve">well </w:t>
      </w:r>
      <w:r w:rsidRPr="007A3896">
        <w:rPr>
          <w:rFonts w:ascii="Tahoma" w:hAnsi="Tahoma" w:cs="Tahoma"/>
          <w:sz w:val="26"/>
        </w:rPr>
        <w:t>thought-out and detailed environmental protection plan</w:t>
      </w:r>
      <w:r w:rsidR="007A3896" w:rsidRPr="007A3896">
        <w:rPr>
          <w:rFonts w:ascii="Tahoma" w:hAnsi="Tahoma" w:cs="Tahoma"/>
          <w:sz w:val="26"/>
        </w:rPr>
        <w:t xml:space="preserve"> that already more than adequately addresses the perceived environmental concerns.</w:t>
      </w:r>
    </w:p>
    <w:p w:rsidR="00B84B3A" w:rsidRDefault="00B84B3A" w:rsidP="00B84B3A">
      <w:pPr>
        <w:jc w:val="both"/>
        <w:rPr>
          <w:rFonts w:ascii="Tahoma" w:hAnsi="Tahoma" w:cs="Tahoma"/>
          <w:sz w:val="26"/>
        </w:rPr>
      </w:pPr>
      <w:r w:rsidRPr="00B84B3A">
        <w:rPr>
          <w:rFonts w:ascii="Tahoma" w:hAnsi="Tahoma" w:cs="Tahoma"/>
          <w:sz w:val="26"/>
        </w:rPr>
        <w:t xml:space="preserve">THERE IS </w:t>
      </w:r>
      <w:r w:rsidR="007F2BFF">
        <w:rPr>
          <w:rFonts w:ascii="Tahoma" w:hAnsi="Tahoma" w:cs="Tahoma"/>
          <w:sz w:val="26"/>
        </w:rPr>
        <w:t xml:space="preserve">THEREFORE </w:t>
      </w:r>
      <w:r w:rsidRPr="00B84B3A">
        <w:rPr>
          <w:rFonts w:ascii="Tahoma" w:hAnsi="Tahoma" w:cs="Tahoma"/>
          <w:sz w:val="26"/>
        </w:rPr>
        <w:t>NO NEED TO REPEAL THE EXISTING MINING ACT.</w:t>
      </w:r>
    </w:p>
    <w:p w:rsidR="0011078C" w:rsidRPr="00B84B3A" w:rsidRDefault="0011078C" w:rsidP="00B84B3A">
      <w:pPr>
        <w:ind w:firstLine="720"/>
        <w:jc w:val="both"/>
        <w:rPr>
          <w:rFonts w:ascii="Tahoma" w:hAnsi="Tahoma" w:cs="Tahoma"/>
          <w:sz w:val="26"/>
        </w:rPr>
      </w:pPr>
      <w:r w:rsidRPr="00B84B3A">
        <w:rPr>
          <w:rFonts w:ascii="Tahoma" w:hAnsi="Tahoma" w:cs="Tahoma"/>
          <w:sz w:val="26"/>
        </w:rPr>
        <w:t xml:space="preserve">Below are </w:t>
      </w:r>
      <w:r w:rsidR="00B938F7" w:rsidRPr="00B84B3A">
        <w:rPr>
          <w:rFonts w:ascii="Tahoma" w:hAnsi="Tahoma" w:cs="Tahoma"/>
          <w:sz w:val="26"/>
        </w:rPr>
        <w:t xml:space="preserve">the </w:t>
      </w:r>
      <w:r w:rsidRPr="00B84B3A">
        <w:rPr>
          <w:rFonts w:ascii="Tahoma" w:hAnsi="Tahoma" w:cs="Tahoma"/>
          <w:sz w:val="26"/>
        </w:rPr>
        <w:t xml:space="preserve">key talking points </w:t>
      </w:r>
      <w:r w:rsidR="00B938F7" w:rsidRPr="00B84B3A">
        <w:rPr>
          <w:rFonts w:ascii="Tahoma" w:hAnsi="Tahoma" w:cs="Tahoma"/>
          <w:sz w:val="26"/>
        </w:rPr>
        <w:t xml:space="preserve">on the alternative mining bills that should be discussed -- </w:t>
      </w:r>
    </w:p>
    <w:tbl>
      <w:tblPr>
        <w:tblStyle w:val="TableGrid"/>
        <w:tblW w:w="0" w:type="auto"/>
        <w:tblInd w:w="108" w:type="dxa"/>
        <w:tblLook w:val="04A0" w:firstRow="1" w:lastRow="0" w:firstColumn="1" w:lastColumn="0" w:noHBand="0" w:noVBand="1"/>
      </w:tblPr>
      <w:tblGrid>
        <w:gridCol w:w="4590"/>
        <w:gridCol w:w="4590"/>
      </w:tblGrid>
      <w:tr w:rsidR="00A75573" w:rsidRPr="00B84B3A" w:rsidTr="00B84B3A">
        <w:tc>
          <w:tcPr>
            <w:tcW w:w="4590" w:type="dxa"/>
            <w:shd w:val="clear" w:color="auto" w:fill="BFBFBF" w:themeFill="background1" w:themeFillShade="BF"/>
          </w:tcPr>
          <w:p w:rsidR="00377B8F" w:rsidRPr="00B84B3A" w:rsidRDefault="00377B8F" w:rsidP="00B84B3A">
            <w:pPr>
              <w:pStyle w:val="NoSpacing"/>
              <w:jc w:val="both"/>
              <w:rPr>
                <w:rFonts w:ascii="Tahoma" w:hAnsi="Tahoma" w:cs="Tahoma"/>
                <w:b/>
                <w:sz w:val="10"/>
              </w:rPr>
            </w:pPr>
          </w:p>
          <w:p w:rsidR="00A75573" w:rsidRPr="00B84B3A" w:rsidRDefault="0011078C" w:rsidP="00B84B3A">
            <w:pPr>
              <w:pStyle w:val="NoSpacing"/>
              <w:jc w:val="both"/>
              <w:rPr>
                <w:rFonts w:ascii="Tahoma" w:hAnsi="Tahoma" w:cs="Tahoma"/>
                <w:b/>
                <w:sz w:val="26"/>
              </w:rPr>
            </w:pPr>
            <w:r w:rsidRPr="00B84B3A">
              <w:rPr>
                <w:rFonts w:ascii="Tahoma" w:hAnsi="Tahoma" w:cs="Tahoma"/>
                <w:b/>
                <w:sz w:val="26"/>
              </w:rPr>
              <w:t>Proposed amendment</w:t>
            </w:r>
          </w:p>
        </w:tc>
        <w:tc>
          <w:tcPr>
            <w:tcW w:w="4590" w:type="dxa"/>
            <w:shd w:val="clear" w:color="auto" w:fill="BFBFBF" w:themeFill="background1" w:themeFillShade="BF"/>
          </w:tcPr>
          <w:p w:rsidR="00A75573" w:rsidRPr="00B84B3A" w:rsidRDefault="00A75573" w:rsidP="00B84B3A">
            <w:pPr>
              <w:pStyle w:val="NoSpacing"/>
              <w:jc w:val="both"/>
              <w:rPr>
                <w:rFonts w:ascii="Tahoma" w:hAnsi="Tahoma" w:cs="Tahoma"/>
                <w:b/>
                <w:sz w:val="10"/>
              </w:rPr>
            </w:pPr>
          </w:p>
          <w:p w:rsidR="00A75573" w:rsidRPr="00B84B3A" w:rsidRDefault="00A75573" w:rsidP="00B84B3A">
            <w:pPr>
              <w:pStyle w:val="NoSpacing"/>
              <w:jc w:val="both"/>
              <w:rPr>
                <w:rFonts w:ascii="Tahoma" w:hAnsi="Tahoma" w:cs="Tahoma"/>
                <w:b/>
                <w:sz w:val="26"/>
              </w:rPr>
            </w:pPr>
            <w:r w:rsidRPr="00B84B3A">
              <w:rPr>
                <w:rFonts w:ascii="Tahoma" w:hAnsi="Tahoma" w:cs="Tahoma"/>
                <w:b/>
                <w:sz w:val="26"/>
              </w:rPr>
              <w:t>Comment</w:t>
            </w:r>
          </w:p>
          <w:p w:rsidR="00A75573" w:rsidRPr="00B84B3A" w:rsidRDefault="00A75573" w:rsidP="00B84B3A">
            <w:pPr>
              <w:pStyle w:val="NoSpacing"/>
              <w:jc w:val="both"/>
              <w:rPr>
                <w:rFonts w:ascii="Tahoma" w:hAnsi="Tahoma" w:cs="Tahoma"/>
                <w:b/>
                <w:sz w:val="12"/>
              </w:rPr>
            </w:pPr>
          </w:p>
        </w:tc>
      </w:tr>
      <w:tr w:rsidR="00A75573" w:rsidRPr="00B84B3A" w:rsidTr="00A75573">
        <w:tc>
          <w:tcPr>
            <w:tcW w:w="4590" w:type="dxa"/>
          </w:tcPr>
          <w:p w:rsidR="00A75573" w:rsidRPr="00B84B3A" w:rsidRDefault="00377B8F" w:rsidP="00B84B3A">
            <w:pPr>
              <w:pStyle w:val="NoSpacing"/>
              <w:jc w:val="both"/>
              <w:rPr>
                <w:rFonts w:ascii="Tahoma" w:hAnsi="Tahoma" w:cs="Tahoma"/>
              </w:rPr>
            </w:pPr>
            <w:r w:rsidRPr="00B84B3A">
              <w:rPr>
                <w:rFonts w:ascii="Tahoma" w:hAnsi="Tahoma" w:cs="Tahoma"/>
              </w:rPr>
              <w:t xml:space="preserve">● </w:t>
            </w:r>
            <w:r w:rsidR="0011078C" w:rsidRPr="00B84B3A">
              <w:rPr>
                <w:rFonts w:ascii="Tahoma" w:hAnsi="Tahoma" w:cs="Tahoma"/>
              </w:rPr>
              <w:t xml:space="preserve">The power to declare areas open to mining, and to approve mining applications is </w:t>
            </w:r>
            <w:r w:rsidR="00A75573" w:rsidRPr="00B84B3A">
              <w:rPr>
                <w:rFonts w:ascii="Tahoma" w:hAnsi="Tahoma" w:cs="Tahoma"/>
              </w:rPr>
              <w:t>given to a Multi-Sectoral Minerals Council;</w:t>
            </w:r>
          </w:p>
        </w:tc>
        <w:tc>
          <w:tcPr>
            <w:tcW w:w="4590" w:type="dxa"/>
            <w:vMerge w:val="restart"/>
          </w:tcPr>
          <w:p w:rsidR="00377B8F" w:rsidRPr="00B84B3A" w:rsidRDefault="00377B8F" w:rsidP="00B84B3A">
            <w:pPr>
              <w:pStyle w:val="NoSpacing"/>
              <w:jc w:val="both"/>
              <w:rPr>
                <w:rFonts w:ascii="Tahoma" w:hAnsi="Tahoma" w:cs="Tahoma"/>
              </w:rPr>
            </w:pPr>
            <w:r w:rsidRPr="00B84B3A">
              <w:rPr>
                <w:rFonts w:ascii="Tahoma" w:hAnsi="Tahoma" w:cs="Tahoma"/>
              </w:rPr>
              <w:t>These provisions are c</w:t>
            </w:r>
            <w:r w:rsidR="00A75573" w:rsidRPr="00B84B3A">
              <w:rPr>
                <w:rFonts w:ascii="Tahoma" w:hAnsi="Tahoma" w:cs="Tahoma"/>
              </w:rPr>
              <w:t xml:space="preserve">ontrary to the Regalian Doctrine enshrined in the Constitution which states that all mineral resources, whether found on public or private lands, ARE OWNED BY THE STATE. </w:t>
            </w:r>
          </w:p>
          <w:p w:rsidR="00377B8F" w:rsidRPr="00B84B3A" w:rsidRDefault="00377B8F" w:rsidP="00B84B3A">
            <w:pPr>
              <w:pStyle w:val="NoSpacing"/>
              <w:jc w:val="both"/>
              <w:rPr>
                <w:rFonts w:ascii="Tahoma" w:hAnsi="Tahoma" w:cs="Tahoma"/>
              </w:rPr>
            </w:pPr>
          </w:p>
          <w:p w:rsidR="00A75573" w:rsidRPr="00B84B3A" w:rsidRDefault="00A75573" w:rsidP="00B84B3A">
            <w:pPr>
              <w:pStyle w:val="NoSpacing"/>
              <w:jc w:val="both"/>
              <w:rPr>
                <w:rFonts w:ascii="Tahoma" w:hAnsi="Tahoma" w:cs="Tahoma"/>
              </w:rPr>
            </w:pPr>
            <w:r w:rsidRPr="00B84B3A">
              <w:rPr>
                <w:rFonts w:ascii="Tahoma" w:hAnsi="Tahoma" w:cs="Tahoma"/>
              </w:rPr>
              <w:t>By</w:t>
            </w:r>
            <w:r w:rsidR="00377B8F" w:rsidRPr="00B84B3A">
              <w:rPr>
                <w:rFonts w:ascii="Tahoma" w:hAnsi="Tahoma" w:cs="Tahoma"/>
              </w:rPr>
              <w:t xml:space="preserve"> providing that ownership over these mineral resources are now with the ICCs/IPs, and that control over the development and use of these resources are now with a Multi-Sectoral Minerals Council is a clear violation of the constitution.</w:t>
            </w:r>
          </w:p>
          <w:p w:rsidR="0025799B" w:rsidRPr="00B84B3A" w:rsidRDefault="0025799B" w:rsidP="00B84B3A">
            <w:pPr>
              <w:pStyle w:val="NoSpacing"/>
              <w:jc w:val="both"/>
              <w:rPr>
                <w:rFonts w:ascii="Tahoma" w:hAnsi="Tahoma" w:cs="Tahoma"/>
              </w:rPr>
            </w:pPr>
          </w:p>
          <w:p w:rsidR="009E561A" w:rsidRPr="00B84B3A" w:rsidRDefault="0025799B" w:rsidP="00B84B3A">
            <w:pPr>
              <w:pStyle w:val="NoSpacing"/>
              <w:jc w:val="both"/>
              <w:rPr>
                <w:rFonts w:ascii="Tahoma" w:hAnsi="Tahoma" w:cs="Tahoma"/>
              </w:rPr>
            </w:pPr>
            <w:r w:rsidRPr="00B84B3A">
              <w:rPr>
                <w:rFonts w:ascii="Tahoma" w:hAnsi="Tahoma" w:cs="Tahoma"/>
              </w:rPr>
              <w:t xml:space="preserve">The delegation in favor of a Council is clearly </w:t>
            </w:r>
            <w:r w:rsidRPr="00B84B3A">
              <w:rPr>
                <w:rFonts w:ascii="Tahoma" w:hAnsi="Tahoma" w:cs="Tahoma"/>
                <w:b/>
                <w:u w:val="single"/>
              </w:rPr>
              <w:t>indefensible</w:t>
            </w:r>
            <w:r w:rsidRPr="00B84B3A">
              <w:rPr>
                <w:rFonts w:ascii="Tahoma" w:hAnsi="Tahoma" w:cs="Tahoma"/>
              </w:rPr>
              <w:t>. The composition of the Council shows that there is no minimum educational or professional requirement for the members. Neither is experience in mining required. As the number of the Council is also not fixed in the law, the proposed size of the Council appears to be impractical and unwieldy.</w:t>
            </w:r>
          </w:p>
        </w:tc>
      </w:tr>
      <w:tr w:rsidR="00377B8F" w:rsidRPr="00B84B3A" w:rsidTr="00A75573">
        <w:tc>
          <w:tcPr>
            <w:tcW w:w="4590" w:type="dxa"/>
          </w:tcPr>
          <w:p w:rsidR="00377B8F" w:rsidRPr="00B84B3A" w:rsidRDefault="00377B8F" w:rsidP="00B84B3A">
            <w:pPr>
              <w:pStyle w:val="NoSpacing"/>
              <w:jc w:val="both"/>
              <w:rPr>
                <w:rFonts w:ascii="Tahoma" w:hAnsi="Tahoma" w:cs="Tahoma"/>
                <w:vertAlign w:val="subscript"/>
              </w:rPr>
            </w:pPr>
            <w:r w:rsidRPr="00B84B3A">
              <w:rPr>
                <w:rFonts w:ascii="Tahoma" w:hAnsi="Tahoma" w:cs="Tahoma"/>
              </w:rPr>
              <w:t xml:space="preserve">● Mineral resources found within ancestral domains are </w:t>
            </w:r>
            <w:r w:rsidR="0011078C" w:rsidRPr="00B84B3A">
              <w:rPr>
                <w:rFonts w:ascii="Tahoma" w:hAnsi="Tahoma" w:cs="Tahoma"/>
              </w:rPr>
              <w:t xml:space="preserve">declared </w:t>
            </w:r>
            <w:r w:rsidRPr="00B84B3A">
              <w:rPr>
                <w:rFonts w:ascii="Tahoma" w:hAnsi="Tahoma" w:cs="Tahoma"/>
              </w:rPr>
              <w:t xml:space="preserve">the collective private property of the indigenous cultural communities that claim these ancestral lands as their own. </w:t>
            </w:r>
          </w:p>
        </w:tc>
        <w:tc>
          <w:tcPr>
            <w:tcW w:w="4590" w:type="dxa"/>
            <w:vMerge/>
          </w:tcPr>
          <w:p w:rsidR="00377B8F" w:rsidRPr="00B84B3A" w:rsidRDefault="00377B8F" w:rsidP="00B84B3A">
            <w:pPr>
              <w:pStyle w:val="NoSpacing"/>
              <w:jc w:val="both"/>
              <w:rPr>
                <w:rFonts w:ascii="Tahoma" w:hAnsi="Tahoma" w:cs="Tahoma"/>
              </w:rPr>
            </w:pPr>
          </w:p>
        </w:tc>
      </w:tr>
      <w:tr w:rsidR="00A75573" w:rsidRPr="00B84B3A" w:rsidTr="00A75573">
        <w:tc>
          <w:tcPr>
            <w:tcW w:w="4590" w:type="dxa"/>
          </w:tcPr>
          <w:p w:rsidR="00A75573" w:rsidRPr="00B84B3A" w:rsidRDefault="00377B8F" w:rsidP="00B84B3A">
            <w:pPr>
              <w:pStyle w:val="NoSpacing"/>
              <w:jc w:val="both"/>
              <w:rPr>
                <w:rFonts w:ascii="Tahoma" w:hAnsi="Tahoma" w:cs="Tahoma"/>
              </w:rPr>
            </w:pPr>
            <w:r w:rsidRPr="00B84B3A">
              <w:rPr>
                <w:rFonts w:ascii="Tahoma" w:hAnsi="Tahoma" w:cs="Tahoma"/>
              </w:rPr>
              <w:t xml:space="preserve">● </w:t>
            </w:r>
            <w:r w:rsidR="00A75573" w:rsidRPr="00B84B3A">
              <w:rPr>
                <w:rFonts w:ascii="Tahoma" w:hAnsi="Tahoma" w:cs="Tahoma"/>
              </w:rPr>
              <w:t>In principle, all areas are closed to mining unless declared “</w:t>
            </w:r>
            <w:r w:rsidR="00A75573" w:rsidRPr="00B84B3A">
              <w:rPr>
                <w:rFonts w:ascii="Tahoma" w:hAnsi="Tahoma" w:cs="Tahoma"/>
                <w:i/>
              </w:rPr>
              <w:t>open</w:t>
            </w:r>
            <w:r w:rsidR="00A75573" w:rsidRPr="00B84B3A">
              <w:rPr>
                <w:rFonts w:ascii="Tahoma" w:hAnsi="Tahoma" w:cs="Tahoma"/>
              </w:rPr>
              <w:t>” by the Council</w:t>
            </w:r>
            <w:r w:rsidRPr="00B84B3A">
              <w:rPr>
                <w:rFonts w:ascii="Tahoma" w:hAnsi="Tahoma" w:cs="Tahoma"/>
              </w:rPr>
              <w:t>;</w:t>
            </w:r>
          </w:p>
        </w:tc>
        <w:tc>
          <w:tcPr>
            <w:tcW w:w="4590" w:type="dxa"/>
            <w:vMerge/>
          </w:tcPr>
          <w:p w:rsidR="00A75573" w:rsidRPr="00B84B3A" w:rsidRDefault="00A75573" w:rsidP="00B84B3A">
            <w:pPr>
              <w:pStyle w:val="NoSpacing"/>
              <w:jc w:val="both"/>
              <w:rPr>
                <w:rFonts w:ascii="Tahoma" w:hAnsi="Tahoma" w:cs="Tahoma"/>
              </w:rPr>
            </w:pPr>
          </w:p>
        </w:tc>
      </w:tr>
      <w:tr w:rsidR="0025799B" w:rsidRPr="00B84B3A" w:rsidTr="00A75573">
        <w:tc>
          <w:tcPr>
            <w:tcW w:w="4590" w:type="dxa"/>
          </w:tcPr>
          <w:p w:rsidR="0025799B" w:rsidRPr="00B84B3A" w:rsidRDefault="0025799B" w:rsidP="00B84B3A">
            <w:pPr>
              <w:pStyle w:val="NoSpacing"/>
              <w:jc w:val="both"/>
              <w:rPr>
                <w:rFonts w:ascii="Tahoma" w:hAnsi="Tahoma" w:cs="Tahoma"/>
              </w:rPr>
            </w:pPr>
            <w:r w:rsidRPr="00B84B3A">
              <w:rPr>
                <w:rFonts w:ascii="Tahoma" w:hAnsi="Tahoma" w:cs="Tahoma"/>
              </w:rPr>
              <w:t xml:space="preserve">● Fiscal incentives </w:t>
            </w:r>
            <w:r w:rsidR="0011078C" w:rsidRPr="00B84B3A">
              <w:rPr>
                <w:rFonts w:ascii="Tahoma" w:hAnsi="Tahoma" w:cs="Tahoma"/>
              </w:rPr>
              <w:t xml:space="preserve">under the Mining Act have been eliminated and </w:t>
            </w:r>
            <w:r w:rsidRPr="00B84B3A">
              <w:rPr>
                <w:rFonts w:ascii="Tahoma" w:hAnsi="Tahoma" w:cs="Tahoma"/>
              </w:rPr>
              <w:t>limited only to pollution control devices;</w:t>
            </w:r>
          </w:p>
        </w:tc>
        <w:tc>
          <w:tcPr>
            <w:tcW w:w="4590" w:type="dxa"/>
            <w:vMerge w:val="restart"/>
          </w:tcPr>
          <w:p w:rsidR="0025799B" w:rsidRPr="00B84B3A" w:rsidRDefault="0025799B" w:rsidP="00B84B3A">
            <w:pPr>
              <w:pStyle w:val="Default"/>
              <w:jc w:val="both"/>
              <w:rPr>
                <w:rFonts w:ascii="Tahoma" w:hAnsi="Tahoma" w:cs="Tahoma"/>
                <w:sz w:val="22"/>
                <w:szCs w:val="22"/>
              </w:rPr>
            </w:pPr>
            <w:r w:rsidRPr="00B84B3A">
              <w:rPr>
                <w:rFonts w:ascii="Tahoma" w:hAnsi="Tahoma" w:cs="Tahoma"/>
                <w:i/>
                <w:sz w:val="22"/>
                <w:szCs w:val="22"/>
              </w:rPr>
              <w:t>Section 1, Article 3</w:t>
            </w:r>
            <w:r w:rsidRPr="00B84B3A">
              <w:rPr>
                <w:rFonts w:ascii="Tahoma" w:hAnsi="Tahoma" w:cs="Tahoma"/>
                <w:sz w:val="22"/>
                <w:szCs w:val="22"/>
              </w:rPr>
              <w:t xml:space="preserve"> of the Philippine Constitution provides: </w:t>
            </w:r>
          </w:p>
          <w:p w:rsidR="0025799B" w:rsidRPr="00B84B3A" w:rsidRDefault="0025799B" w:rsidP="00B84B3A">
            <w:pPr>
              <w:pStyle w:val="Default"/>
              <w:jc w:val="both"/>
              <w:rPr>
                <w:rFonts w:ascii="Tahoma" w:hAnsi="Tahoma" w:cs="Tahoma"/>
                <w:i/>
                <w:sz w:val="20"/>
                <w:szCs w:val="22"/>
              </w:rPr>
            </w:pPr>
          </w:p>
          <w:p w:rsidR="0025799B" w:rsidRPr="00B84B3A" w:rsidRDefault="0025799B" w:rsidP="00B84B3A">
            <w:pPr>
              <w:pStyle w:val="Default"/>
              <w:jc w:val="both"/>
              <w:rPr>
                <w:rFonts w:ascii="Tahoma" w:hAnsi="Tahoma" w:cs="Tahoma"/>
                <w:i/>
                <w:sz w:val="20"/>
                <w:szCs w:val="22"/>
              </w:rPr>
            </w:pPr>
            <w:r w:rsidRPr="00B84B3A">
              <w:rPr>
                <w:rFonts w:ascii="Tahoma" w:hAnsi="Tahoma" w:cs="Tahoma"/>
                <w:i/>
                <w:sz w:val="20"/>
                <w:szCs w:val="22"/>
              </w:rPr>
              <w:lastRenderedPageBreak/>
              <w:t xml:space="preserve">No person shall be deprived of life, liberty, or property without due process of law, nor shall any person be denied the equal protection of the laws. </w:t>
            </w:r>
          </w:p>
          <w:p w:rsidR="0025799B" w:rsidRPr="00B84B3A" w:rsidRDefault="0025799B" w:rsidP="00B84B3A">
            <w:pPr>
              <w:pStyle w:val="Default"/>
              <w:jc w:val="both"/>
              <w:rPr>
                <w:rFonts w:ascii="Tahoma" w:hAnsi="Tahoma" w:cs="Tahoma"/>
                <w:sz w:val="22"/>
                <w:szCs w:val="22"/>
              </w:rPr>
            </w:pPr>
          </w:p>
          <w:p w:rsidR="0025799B" w:rsidRPr="00B84B3A" w:rsidRDefault="0025799B" w:rsidP="00B84B3A">
            <w:pPr>
              <w:pStyle w:val="Default"/>
              <w:jc w:val="both"/>
              <w:rPr>
                <w:rFonts w:ascii="Tahoma" w:hAnsi="Tahoma" w:cs="Tahoma"/>
                <w:sz w:val="22"/>
                <w:szCs w:val="22"/>
              </w:rPr>
            </w:pPr>
            <w:r w:rsidRPr="00B84B3A">
              <w:rPr>
                <w:rFonts w:ascii="Tahoma" w:hAnsi="Tahoma" w:cs="Tahoma"/>
                <w:sz w:val="22"/>
                <w:szCs w:val="22"/>
              </w:rPr>
              <w:t xml:space="preserve">The Bill seeks to limit the government incentives </w:t>
            </w:r>
            <w:r w:rsidR="0011078C" w:rsidRPr="00B84B3A">
              <w:rPr>
                <w:rFonts w:ascii="Tahoma" w:hAnsi="Tahoma" w:cs="Tahoma"/>
                <w:sz w:val="22"/>
                <w:szCs w:val="22"/>
              </w:rPr>
              <w:t xml:space="preserve">given to mining contractors to </w:t>
            </w:r>
            <w:r w:rsidRPr="00B84B3A">
              <w:rPr>
                <w:rFonts w:ascii="Tahoma" w:hAnsi="Tahoma" w:cs="Tahoma"/>
                <w:sz w:val="22"/>
                <w:szCs w:val="22"/>
              </w:rPr>
              <w:t xml:space="preserve">pollution control or mitigation devices or infrastructure, mineral, processing plants and development of downstream industries.‖ </w:t>
            </w:r>
          </w:p>
          <w:p w:rsidR="0025799B" w:rsidRPr="00B84B3A" w:rsidRDefault="0025799B" w:rsidP="00B84B3A">
            <w:pPr>
              <w:pStyle w:val="Default"/>
              <w:jc w:val="both"/>
              <w:rPr>
                <w:rFonts w:ascii="Tahoma" w:hAnsi="Tahoma" w:cs="Tahoma"/>
                <w:sz w:val="22"/>
                <w:szCs w:val="22"/>
              </w:rPr>
            </w:pPr>
          </w:p>
          <w:p w:rsidR="0025799B" w:rsidRPr="00B84B3A" w:rsidRDefault="0025799B" w:rsidP="00B84B3A">
            <w:pPr>
              <w:pStyle w:val="Default"/>
              <w:jc w:val="both"/>
              <w:rPr>
                <w:rFonts w:ascii="Tahoma" w:hAnsi="Tahoma" w:cs="Tahoma"/>
                <w:sz w:val="22"/>
                <w:szCs w:val="22"/>
              </w:rPr>
            </w:pPr>
            <w:r w:rsidRPr="00B84B3A">
              <w:rPr>
                <w:rFonts w:ascii="Tahoma" w:hAnsi="Tahoma" w:cs="Tahoma"/>
                <w:sz w:val="22"/>
                <w:szCs w:val="22"/>
              </w:rPr>
              <w:t xml:space="preserve">While the Chamber shares the importance to national development of pollution control/mitigation, infrastructure development, and adding value to mineral output, we believe that the aforementioned limitation of incentives against mining contractors, considering mining’s contribution to the national economic development, violates the equal protection clause of the Philippine Constitution. </w:t>
            </w:r>
          </w:p>
          <w:p w:rsidR="0025799B" w:rsidRPr="00B84B3A" w:rsidRDefault="0025799B" w:rsidP="00B84B3A">
            <w:pPr>
              <w:pStyle w:val="NoSpacing"/>
              <w:jc w:val="both"/>
              <w:rPr>
                <w:rFonts w:ascii="Tahoma" w:hAnsi="Tahoma" w:cs="Tahoma"/>
              </w:rPr>
            </w:pPr>
          </w:p>
          <w:p w:rsidR="0011078C" w:rsidRPr="00B84B3A" w:rsidRDefault="0025799B" w:rsidP="00B84B3A">
            <w:pPr>
              <w:pStyle w:val="NoSpacing"/>
              <w:jc w:val="both"/>
              <w:rPr>
                <w:rFonts w:ascii="Tahoma" w:hAnsi="Tahoma" w:cs="Tahoma"/>
              </w:rPr>
            </w:pPr>
            <w:r w:rsidRPr="00B84B3A">
              <w:rPr>
                <w:rFonts w:ascii="Tahoma" w:hAnsi="Tahoma" w:cs="Tahoma"/>
              </w:rPr>
              <w:t xml:space="preserve">The Bill also provides for a moratorium on all mining activities until all the systems are in place for the proper implementation of the law. In addition, the Bill provides that </w:t>
            </w:r>
            <w:proofErr w:type="gramStart"/>
            <w:r w:rsidRPr="00B84B3A">
              <w:rPr>
                <w:rFonts w:ascii="Tahoma" w:hAnsi="Tahoma" w:cs="Tahoma"/>
              </w:rPr>
              <w:t>―[</w:t>
            </w:r>
            <w:proofErr w:type="gramEnd"/>
            <w:r w:rsidRPr="00B84B3A">
              <w:rPr>
                <w:rFonts w:ascii="Tahoma" w:hAnsi="Tahoma" w:cs="Tahoma"/>
              </w:rPr>
              <w:t>a]</w:t>
            </w:r>
            <w:proofErr w:type="spellStart"/>
            <w:r w:rsidRPr="00B84B3A">
              <w:rPr>
                <w:rFonts w:ascii="Tahoma" w:hAnsi="Tahoma" w:cs="Tahoma"/>
              </w:rPr>
              <w:t>ll</w:t>
            </w:r>
            <w:proofErr w:type="spellEnd"/>
            <w:r w:rsidRPr="00B84B3A">
              <w:rPr>
                <w:rFonts w:ascii="Tahoma" w:hAnsi="Tahoma" w:cs="Tahoma"/>
              </w:rPr>
              <w:t xml:space="preserve"> existing mining permits, licenses and agreements are deemed cancelled.‖ </w:t>
            </w:r>
          </w:p>
          <w:p w:rsidR="0011078C" w:rsidRPr="00B84B3A" w:rsidRDefault="0011078C" w:rsidP="00B84B3A">
            <w:pPr>
              <w:pStyle w:val="NoSpacing"/>
              <w:jc w:val="both"/>
              <w:rPr>
                <w:rFonts w:ascii="Tahoma" w:hAnsi="Tahoma" w:cs="Tahoma"/>
              </w:rPr>
            </w:pPr>
          </w:p>
          <w:p w:rsidR="0025799B" w:rsidRPr="00B84B3A" w:rsidRDefault="0025799B" w:rsidP="00B84B3A">
            <w:pPr>
              <w:pStyle w:val="NoSpacing"/>
              <w:jc w:val="both"/>
              <w:rPr>
                <w:rFonts w:ascii="Tahoma" w:hAnsi="Tahoma" w:cs="Tahoma"/>
                <w:b/>
              </w:rPr>
            </w:pPr>
            <w:r w:rsidRPr="00B84B3A">
              <w:rPr>
                <w:rFonts w:ascii="Tahoma" w:hAnsi="Tahoma" w:cs="Tahoma"/>
                <w:b/>
              </w:rPr>
              <w:t>This not only violates the aforementioned due process clause of the Philippine Constitution, but also the non-impairment clause under Section 10, Article III of the Philippine Constitution which provides that ―[n]o law impairing the obligation of contracts shall b</w:t>
            </w:r>
            <w:r w:rsidR="00B938F7" w:rsidRPr="00B84B3A">
              <w:rPr>
                <w:rFonts w:ascii="Tahoma" w:hAnsi="Tahoma" w:cs="Tahoma"/>
                <w:b/>
              </w:rPr>
              <w:t xml:space="preserve">e passed. </w:t>
            </w:r>
          </w:p>
        </w:tc>
      </w:tr>
      <w:tr w:rsidR="0025799B" w:rsidRPr="00B84B3A" w:rsidTr="00A75573">
        <w:tc>
          <w:tcPr>
            <w:tcW w:w="4590" w:type="dxa"/>
          </w:tcPr>
          <w:p w:rsidR="0025799B" w:rsidRPr="00B84B3A" w:rsidRDefault="0025799B" w:rsidP="00B84B3A">
            <w:pPr>
              <w:pStyle w:val="NoSpacing"/>
              <w:jc w:val="both"/>
              <w:rPr>
                <w:rFonts w:ascii="Tahoma" w:hAnsi="Tahoma" w:cs="Tahoma"/>
              </w:rPr>
            </w:pPr>
            <w:r w:rsidRPr="00B84B3A">
              <w:rPr>
                <w:rFonts w:ascii="Tahoma" w:hAnsi="Tahoma" w:cs="Tahoma"/>
              </w:rPr>
              <w:lastRenderedPageBreak/>
              <w:t xml:space="preserve">● Prohibits the assignment and transfer of </w:t>
            </w:r>
            <w:r w:rsidR="0011078C" w:rsidRPr="00B84B3A">
              <w:rPr>
                <w:rFonts w:ascii="Tahoma" w:hAnsi="Tahoma" w:cs="Tahoma"/>
              </w:rPr>
              <w:t xml:space="preserve">mineral rights </w:t>
            </w:r>
            <w:r w:rsidRPr="00B84B3A">
              <w:rPr>
                <w:rFonts w:ascii="Tahoma" w:hAnsi="Tahoma" w:cs="Tahoma"/>
              </w:rPr>
              <w:t xml:space="preserve">agreements; </w:t>
            </w:r>
          </w:p>
        </w:tc>
        <w:tc>
          <w:tcPr>
            <w:tcW w:w="4590" w:type="dxa"/>
            <w:vMerge/>
          </w:tcPr>
          <w:p w:rsidR="0025799B" w:rsidRPr="00B84B3A" w:rsidRDefault="0025799B" w:rsidP="00B84B3A">
            <w:pPr>
              <w:pStyle w:val="NoSpacing"/>
              <w:jc w:val="both"/>
              <w:rPr>
                <w:rFonts w:ascii="Tahoma" w:hAnsi="Tahoma" w:cs="Tahoma"/>
              </w:rPr>
            </w:pPr>
          </w:p>
        </w:tc>
      </w:tr>
      <w:tr w:rsidR="0025799B" w:rsidRPr="00B84B3A" w:rsidTr="00A75573">
        <w:tc>
          <w:tcPr>
            <w:tcW w:w="4590" w:type="dxa"/>
          </w:tcPr>
          <w:p w:rsidR="0025799B" w:rsidRPr="00B84B3A" w:rsidRDefault="0025799B" w:rsidP="00B84B3A">
            <w:pPr>
              <w:pStyle w:val="NoSpacing"/>
              <w:jc w:val="both"/>
              <w:rPr>
                <w:rFonts w:ascii="Tahoma" w:hAnsi="Tahoma" w:cs="Tahoma"/>
              </w:rPr>
            </w:pPr>
            <w:r w:rsidRPr="00B84B3A">
              <w:rPr>
                <w:rFonts w:ascii="Tahoma" w:hAnsi="Tahoma" w:cs="Tahoma"/>
              </w:rPr>
              <w:lastRenderedPageBreak/>
              <w:t>● Increased royalty for the National Government, LGUs and IPs;</w:t>
            </w:r>
            <w:r w:rsidR="00B938F7" w:rsidRPr="00B84B3A">
              <w:rPr>
                <w:rFonts w:ascii="Tahoma" w:hAnsi="Tahoma" w:cs="Tahoma"/>
              </w:rPr>
              <w:t xml:space="preserve"> </w:t>
            </w:r>
            <w:r w:rsidR="00B938F7" w:rsidRPr="00B84B3A">
              <w:rPr>
                <w:rFonts w:ascii="Tahoma" w:hAnsi="Tahoma" w:cs="Tahoma"/>
                <w:i/>
              </w:rPr>
              <w:t>(from 2% of gross revenues to 10%)</w:t>
            </w:r>
          </w:p>
        </w:tc>
        <w:tc>
          <w:tcPr>
            <w:tcW w:w="4590" w:type="dxa"/>
            <w:vMerge/>
          </w:tcPr>
          <w:p w:rsidR="0025799B" w:rsidRPr="00B84B3A" w:rsidRDefault="0025799B" w:rsidP="00B84B3A">
            <w:pPr>
              <w:pStyle w:val="NoSpacing"/>
              <w:jc w:val="both"/>
              <w:rPr>
                <w:rFonts w:ascii="Tahoma" w:hAnsi="Tahoma" w:cs="Tahoma"/>
              </w:rPr>
            </w:pPr>
          </w:p>
        </w:tc>
      </w:tr>
      <w:tr w:rsidR="0025799B" w:rsidRPr="00B84B3A" w:rsidTr="00A75573">
        <w:tc>
          <w:tcPr>
            <w:tcW w:w="4590" w:type="dxa"/>
          </w:tcPr>
          <w:p w:rsidR="0025799B" w:rsidRPr="00B84B3A" w:rsidRDefault="0025799B" w:rsidP="00B84B3A">
            <w:pPr>
              <w:pStyle w:val="NoSpacing"/>
              <w:jc w:val="both"/>
              <w:rPr>
                <w:rFonts w:ascii="Tahoma" w:hAnsi="Tahoma" w:cs="Tahoma"/>
              </w:rPr>
            </w:pPr>
            <w:r w:rsidRPr="00B84B3A">
              <w:rPr>
                <w:rFonts w:ascii="Tahoma" w:hAnsi="Tahoma" w:cs="Tahoma"/>
              </w:rPr>
              <w:t xml:space="preserve">Removal of </w:t>
            </w:r>
            <w:r w:rsidR="0011078C" w:rsidRPr="00B84B3A">
              <w:rPr>
                <w:rFonts w:ascii="Tahoma" w:hAnsi="Tahoma" w:cs="Tahoma"/>
              </w:rPr>
              <w:t xml:space="preserve">foreign investment via </w:t>
            </w:r>
            <w:r w:rsidRPr="00B84B3A">
              <w:rPr>
                <w:rFonts w:ascii="Tahoma" w:hAnsi="Tahoma" w:cs="Tahoma"/>
              </w:rPr>
              <w:t>FTAA</w:t>
            </w:r>
            <w:r w:rsidR="0011078C" w:rsidRPr="00B84B3A">
              <w:rPr>
                <w:rFonts w:ascii="Tahoma" w:hAnsi="Tahoma" w:cs="Tahoma"/>
              </w:rPr>
              <w:t>.</w:t>
            </w:r>
            <w:r w:rsidRPr="00B84B3A">
              <w:rPr>
                <w:rFonts w:ascii="Tahoma" w:hAnsi="Tahoma" w:cs="Tahoma"/>
              </w:rPr>
              <w:t xml:space="preserve"> Only Filipino citizen/s or corporation/s 60% of whose equity is owned or controlled by Filipino will be allowed to engage in mining activities.</w:t>
            </w:r>
          </w:p>
        </w:tc>
        <w:tc>
          <w:tcPr>
            <w:tcW w:w="4590" w:type="dxa"/>
          </w:tcPr>
          <w:p w:rsidR="0025799B" w:rsidRPr="00B84B3A" w:rsidRDefault="0011078C" w:rsidP="00B84B3A">
            <w:pPr>
              <w:pStyle w:val="NoSpacing"/>
              <w:jc w:val="both"/>
              <w:rPr>
                <w:rFonts w:ascii="Tahoma" w:hAnsi="Tahoma" w:cs="Tahoma"/>
              </w:rPr>
            </w:pPr>
            <w:r w:rsidRPr="00B84B3A">
              <w:rPr>
                <w:rFonts w:ascii="Tahoma" w:hAnsi="Tahoma" w:cs="Tahoma"/>
              </w:rPr>
              <w:t>The proposal is</w:t>
            </w:r>
            <w:r w:rsidR="0025799B" w:rsidRPr="00B84B3A">
              <w:rPr>
                <w:rFonts w:ascii="Tahoma" w:hAnsi="Tahoma" w:cs="Tahoma"/>
              </w:rPr>
              <w:t xml:space="preserve"> effectively a re-trial and a repudiation of the decision of the Supreme Court in the </w:t>
            </w:r>
            <w:r w:rsidR="0025799B" w:rsidRPr="00B84B3A">
              <w:rPr>
                <w:rFonts w:ascii="Tahoma" w:hAnsi="Tahoma" w:cs="Tahoma"/>
                <w:i/>
              </w:rPr>
              <w:t xml:space="preserve">La Bugal </w:t>
            </w:r>
            <w:proofErr w:type="spellStart"/>
            <w:r w:rsidR="0025799B" w:rsidRPr="00B84B3A">
              <w:rPr>
                <w:rFonts w:ascii="Tahoma" w:hAnsi="Tahoma" w:cs="Tahoma"/>
                <w:i/>
              </w:rPr>
              <w:t>Blaan</w:t>
            </w:r>
            <w:proofErr w:type="spellEnd"/>
            <w:r w:rsidR="0025799B" w:rsidRPr="00B84B3A">
              <w:rPr>
                <w:rFonts w:ascii="Tahoma" w:hAnsi="Tahoma" w:cs="Tahoma"/>
                <w:i/>
              </w:rPr>
              <w:t xml:space="preserve"> case</w:t>
            </w:r>
            <w:r w:rsidR="0025799B" w:rsidRPr="00B84B3A">
              <w:rPr>
                <w:rFonts w:ascii="Tahoma" w:hAnsi="Tahoma" w:cs="Tahoma"/>
              </w:rPr>
              <w:t xml:space="preserve"> </w:t>
            </w:r>
            <w:r w:rsidR="0025799B" w:rsidRPr="00B84B3A">
              <w:rPr>
                <w:rFonts w:ascii="Tahoma" w:hAnsi="Tahoma" w:cs="Tahoma"/>
                <w:b/>
              </w:rPr>
              <w:t>where the Supreme Court has already ruled that FTAAs are valid and constitutional</w:t>
            </w:r>
            <w:r w:rsidR="0025799B" w:rsidRPr="00B84B3A">
              <w:rPr>
                <w:rFonts w:ascii="Tahoma" w:hAnsi="Tahoma" w:cs="Tahoma"/>
              </w:rPr>
              <w:t xml:space="preserve">. </w:t>
            </w:r>
          </w:p>
          <w:p w:rsidR="0025799B" w:rsidRPr="00B84B3A" w:rsidRDefault="0025799B" w:rsidP="00B84B3A">
            <w:pPr>
              <w:pStyle w:val="NoSpacing"/>
              <w:jc w:val="both"/>
              <w:rPr>
                <w:rFonts w:ascii="Tahoma" w:hAnsi="Tahoma" w:cs="Tahoma"/>
              </w:rPr>
            </w:pPr>
          </w:p>
          <w:p w:rsidR="0025799B" w:rsidRPr="00B84B3A" w:rsidRDefault="0025799B" w:rsidP="00B84B3A">
            <w:pPr>
              <w:pStyle w:val="NoSpacing"/>
              <w:jc w:val="both"/>
              <w:rPr>
                <w:rFonts w:ascii="Tahoma" w:hAnsi="Tahoma" w:cs="Tahoma"/>
              </w:rPr>
            </w:pPr>
            <w:r w:rsidRPr="00B84B3A">
              <w:rPr>
                <w:rFonts w:ascii="Tahoma" w:hAnsi="Tahoma" w:cs="Tahoma"/>
              </w:rPr>
              <w:t xml:space="preserve">The Philippine Constitution provides that (i) the State can directly undertake the exploration, development, and utilization of natural resources, or (ii) the State may enter into agreements with contractors for the conduct of the same, provided that the State </w:t>
            </w:r>
            <w:r w:rsidRPr="00B84B3A">
              <w:rPr>
                <w:rFonts w:ascii="Tahoma" w:hAnsi="Tahoma" w:cs="Tahoma"/>
              </w:rPr>
              <w:lastRenderedPageBreak/>
              <w:t>shall always that the exploration, development, and utilization activities are under the full control and supervision of the State.</w:t>
            </w:r>
          </w:p>
          <w:p w:rsidR="0025799B" w:rsidRPr="00B84B3A" w:rsidRDefault="0025799B" w:rsidP="00B84B3A">
            <w:pPr>
              <w:pStyle w:val="NoSpacing"/>
              <w:jc w:val="both"/>
              <w:rPr>
                <w:rFonts w:ascii="Tahoma" w:hAnsi="Tahoma" w:cs="Tahoma"/>
              </w:rPr>
            </w:pPr>
          </w:p>
          <w:p w:rsidR="0025799B" w:rsidRPr="00B84B3A" w:rsidRDefault="0025799B" w:rsidP="00B84B3A">
            <w:pPr>
              <w:pStyle w:val="NoSpacing"/>
              <w:jc w:val="both"/>
              <w:rPr>
                <w:rFonts w:ascii="Tahoma" w:hAnsi="Tahoma" w:cs="Tahoma"/>
              </w:rPr>
            </w:pPr>
            <w:r w:rsidRPr="00B84B3A">
              <w:rPr>
                <w:rFonts w:ascii="Tahoma" w:hAnsi="Tahoma" w:cs="Tahoma"/>
              </w:rPr>
              <w:t xml:space="preserve">In the </w:t>
            </w:r>
            <w:r w:rsidRPr="00B84B3A">
              <w:rPr>
                <w:rFonts w:ascii="Tahoma" w:hAnsi="Tahoma" w:cs="Tahoma"/>
                <w:i/>
              </w:rPr>
              <w:t xml:space="preserve">La Bugal </w:t>
            </w:r>
            <w:proofErr w:type="spellStart"/>
            <w:r w:rsidRPr="00B84B3A">
              <w:rPr>
                <w:rFonts w:ascii="Tahoma" w:hAnsi="Tahoma" w:cs="Tahoma"/>
                <w:i/>
              </w:rPr>
              <w:t>Blaan</w:t>
            </w:r>
            <w:proofErr w:type="spellEnd"/>
            <w:r w:rsidRPr="00B84B3A">
              <w:rPr>
                <w:rFonts w:ascii="Tahoma" w:hAnsi="Tahoma" w:cs="Tahoma"/>
                <w:i/>
              </w:rPr>
              <w:t xml:space="preserve"> Case</w:t>
            </w:r>
            <w:r w:rsidRPr="00B84B3A">
              <w:rPr>
                <w:rFonts w:ascii="Tahoma" w:hAnsi="Tahoma" w:cs="Tahoma"/>
              </w:rPr>
              <w:t>, the Supreme Court ruled that the provisions of the Mining Act comply with this Constitutional requirement on full control and supervision. The Supreme Court held that ―</w:t>
            </w:r>
            <w:r w:rsidRPr="00B84B3A">
              <w:rPr>
                <w:rFonts w:ascii="Tahoma" w:hAnsi="Tahoma" w:cs="Tahoma"/>
                <w:b/>
              </w:rPr>
              <w:t>[f]</w:t>
            </w:r>
            <w:proofErr w:type="spellStart"/>
            <w:r w:rsidRPr="00B84B3A">
              <w:rPr>
                <w:rFonts w:ascii="Tahoma" w:hAnsi="Tahoma" w:cs="Tahoma"/>
                <w:b/>
              </w:rPr>
              <w:t>ull</w:t>
            </w:r>
            <w:proofErr w:type="spellEnd"/>
            <w:r w:rsidRPr="00B84B3A">
              <w:rPr>
                <w:rFonts w:ascii="Tahoma" w:hAnsi="Tahoma" w:cs="Tahoma"/>
                <w:b/>
              </w:rPr>
              <w:t xml:space="preserve"> control is not </w:t>
            </w:r>
            <w:proofErr w:type="spellStart"/>
            <w:r w:rsidRPr="00B84B3A">
              <w:rPr>
                <w:rFonts w:ascii="Tahoma" w:hAnsi="Tahoma" w:cs="Tahoma"/>
                <w:b/>
              </w:rPr>
              <w:t>anathemic</w:t>
            </w:r>
            <w:proofErr w:type="spellEnd"/>
            <w:r w:rsidRPr="00B84B3A">
              <w:rPr>
                <w:rFonts w:ascii="Tahoma" w:hAnsi="Tahoma" w:cs="Tahoma"/>
                <w:b/>
              </w:rPr>
              <w:t xml:space="preserve"> to day-to-day management by the contractor, provided that the State retains the power to direct overall strategy…[The State] need not micro-manage mining operations and day-to-day affairs of the enterprise</w:t>
            </w:r>
            <w:r w:rsidRPr="00B84B3A">
              <w:rPr>
                <w:rFonts w:ascii="Tahoma" w:hAnsi="Tahoma" w:cs="Tahoma"/>
              </w:rPr>
              <w:t>.‖ As noted above, the Mining Act does not prevent government from conducting exploration activities but because this entails significant cost and substantial risks that exploration will not result in economically viable mineral development, it makes no sense to prevent private entities from conducting this activity. The country actually benefits from private entities including foreign companies assuming the exploration risk instead of the government. The Supreme Court, in upholding the validity of the FTAA, cited the inadequacy of Filipino capital and technology in large-scale mining activities and the need for foreign investments in mining endeavors.</w:t>
            </w:r>
          </w:p>
        </w:tc>
      </w:tr>
      <w:tr w:rsidR="0025799B" w:rsidRPr="00B84B3A" w:rsidTr="00A75573">
        <w:tc>
          <w:tcPr>
            <w:tcW w:w="4590" w:type="dxa"/>
          </w:tcPr>
          <w:p w:rsidR="0025799B" w:rsidRPr="00B84B3A" w:rsidRDefault="0025799B" w:rsidP="00B84B3A">
            <w:pPr>
              <w:pStyle w:val="NoSpacing"/>
              <w:jc w:val="both"/>
              <w:rPr>
                <w:rFonts w:ascii="Tahoma" w:hAnsi="Tahoma" w:cs="Tahoma"/>
              </w:rPr>
            </w:pPr>
            <w:r w:rsidRPr="00B84B3A">
              <w:rPr>
                <w:rFonts w:ascii="Tahoma" w:hAnsi="Tahoma" w:cs="Tahoma"/>
              </w:rPr>
              <w:lastRenderedPageBreak/>
              <w:t>Exploration to be exclusively and directly undertaken by the MGB.</w:t>
            </w:r>
            <w:r w:rsidR="0011078C" w:rsidRPr="00B84B3A">
              <w:rPr>
                <w:rFonts w:ascii="Tahoma" w:hAnsi="Tahoma" w:cs="Tahoma"/>
              </w:rPr>
              <w:t xml:space="preserve"> </w:t>
            </w:r>
            <w:r w:rsidR="0011078C" w:rsidRPr="00B84B3A">
              <w:rPr>
                <w:rFonts w:ascii="Tahoma" w:hAnsi="Tahoma" w:cs="Tahoma"/>
                <w:b/>
              </w:rPr>
              <w:t>Private individuals/corporations will no longer be allowed to conduct exploration activities</w:t>
            </w:r>
            <w:r w:rsidR="0011078C" w:rsidRPr="00B84B3A">
              <w:rPr>
                <w:rFonts w:ascii="Tahoma" w:hAnsi="Tahoma" w:cs="Tahoma"/>
              </w:rPr>
              <w:t>.</w:t>
            </w:r>
          </w:p>
        </w:tc>
        <w:tc>
          <w:tcPr>
            <w:tcW w:w="4590" w:type="dxa"/>
          </w:tcPr>
          <w:p w:rsidR="0025799B" w:rsidRPr="00B84B3A" w:rsidRDefault="0025799B" w:rsidP="00B84B3A">
            <w:pPr>
              <w:pStyle w:val="NoSpacing"/>
              <w:jc w:val="both"/>
              <w:rPr>
                <w:rFonts w:ascii="Tahoma" w:hAnsi="Tahoma" w:cs="Tahoma"/>
              </w:rPr>
            </w:pPr>
            <w:r w:rsidRPr="00B84B3A">
              <w:rPr>
                <w:rFonts w:ascii="Tahoma" w:hAnsi="Tahoma" w:cs="Tahoma"/>
              </w:rPr>
              <w:t>MGB has neither the resources nor the technical capacity to be the sole entity authorized to conduct exploration activities. If this provision is allowed to proceed, it will take years, if not decades, for the MGB to delineate and demarcate areas within the country with commercially</w:t>
            </w:r>
            <w:r w:rsidR="009E561A" w:rsidRPr="00B84B3A">
              <w:rPr>
                <w:rFonts w:ascii="Tahoma" w:hAnsi="Tahoma" w:cs="Tahoma"/>
              </w:rPr>
              <w:t xml:space="preserve">-viable quantities of mineral resources. </w:t>
            </w:r>
            <w:r w:rsidRPr="00B84B3A">
              <w:rPr>
                <w:rFonts w:ascii="Tahoma" w:hAnsi="Tahoma" w:cs="Tahoma"/>
              </w:rPr>
              <w:t xml:space="preserve"> </w:t>
            </w:r>
          </w:p>
        </w:tc>
      </w:tr>
      <w:tr w:rsidR="00B938F7" w:rsidRPr="00B84B3A" w:rsidTr="00A75573">
        <w:tc>
          <w:tcPr>
            <w:tcW w:w="4590" w:type="dxa"/>
          </w:tcPr>
          <w:p w:rsidR="00B938F7" w:rsidRPr="00B84B3A" w:rsidRDefault="00B938F7" w:rsidP="00B84B3A">
            <w:pPr>
              <w:pStyle w:val="BodyText"/>
              <w:tabs>
                <w:tab w:val="clear" w:pos="709"/>
                <w:tab w:val="clear" w:pos="1418"/>
                <w:tab w:val="clear" w:pos="2126"/>
                <w:tab w:val="clear" w:pos="2835"/>
                <w:tab w:val="clear" w:pos="9072"/>
              </w:tabs>
              <w:jc w:val="both"/>
              <w:rPr>
                <w:rFonts w:ascii="Tahoma" w:hAnsi="Tahoma" w:cs="Tahoma"/>
                <w:szCs w:val="22"/>
              </w:rPr>
            </w:pPr>
            <w:r w:rsidRPr="00B84B3A">
              <w:rPr>
                <w:rFonts w:ascii="Tahoma" w:hAnsi="Tahoma" w:cs="Tahoma"/>
                <w:szCs w:val="22"/>
              </w:rPr>
              <w:t xml:space="preserve">The process outlined in the proposed Alternative Mining Bills for </w:t>
            </w:r>
            <w:r w:rsidRPr="00B84B3A">
              <w:rPr>
                <w:rFonts w:ascii="Tahoma" w:hAnsi="Tahoma" w:cs="Tahoma"/>
                <w:i/>
                <w:szCs w:val="22"/>
              </w:rPr>
              <w:t>(i)</w:t>
            </w:r>
            <w:r w:rsidRPr="00B84B3A">
              <w:rPr>
                <w:rFonts w:ascii="Tahoma" w:hAnsi="Tahoma" w:cs="Tahoma"/>
                <w:szCs w:val="22"/>
              </w:rPr>
              <w:t xml:space="preserve"> determining the areas open or closed to mining, and </w:t>
            </w:r>
            <w:r w:rsidRPr="00B84B3A">
              <w:rPr>
                <w:rFonts w:ascii="Tahoma" w:hAnsi="Tahoma" w:cs="Tahoma"/>
                <w:i/>
                <w:szCs w:val="22"/>
              </w:rPr>
              <w:t>(ii)</w:t>
            </w:r>
            <w:r w:rsidRPr="00B84B3A">
              <w:rPr>
                <w:rFonts w:ascii="Tahoma" w:hAnsi="Tahoma" w:cs="Tahoma"/>
                <w:szCs w:val="22"/>
              </w:rPr>
              <w:t xml:space="preserve"> deliberating and approving mineral agreements are overly complicated and is not in tune with the President’s pronouncement that the Philippines in now </w:t>
            </w:r>
            <w:r w:rsidRPr="00B84B3A">
              <w:rPr>
                <w:rFonts w:ascii="Tahoma" w:hAnsi="Tahoma" w:cs="Tahoma"/>
                <w:i/>
                <w:szCs w:val="22"/>
              </w:rPr>
              <w:lastRenderedPageBreak/>
              <w:t>“open for business”</w:t>
            </w:r>
            <w:r w:rsidRPr="00B84B3A">
              <w:rPr>
                <w:rFonts w:ascii="Tahoma" w:hAnsi="Tahoma" w:cs="Tahoma"/>
                <w:szCs w:val="22"/>
              </w:rPr>
              <w:t>.</w:t>
            </w:r>
          </w:p>
          <w:p w:rsidR="00B84B3A" w:rsidRPr="00B84B3A" w:rsidRDefault="00B84B3A" w:rsidP="00B84B3A">
            <w:pPr>
              <w:pStyle w:val="BodyText"/>
              <w:jc w:val="both"/>
              <w:rPr>
                <w:rFonts w:ascii="Tahoma" w:hAnsi="Tahoma" w:cs="Tahoma"/>
                <w:i/>
                <w:sz w:val="20"/>
                <w:szCs w:val="22"/>
              </w:rPr>
            </w:pPr>
            <w:r w:rsidRPr="00B84B3A">
              <w:rPr>
                <w:rFonts w:ascii="Tahoma" w:hAnsi="Tahoma" w:cs="Tahoma"/>
                <w:i/>
                <w:sz w:val="20"/>
                <w:szCs w:val="22"/>
              </w:rPr>
              <w:t>[</w:t>
            </w:r>
            <w:r w:rsidR="00B938F7" w:rsidRPr="00B84B3A">
              <w:rPr>
                <w:rFonts w:ascii="Tahoma" w:hAnsi="Tahoma" w:cs="Tahoma"/>
                <w:i/>
                <w:sz w:val="20"/>
                <w:szCs w:val="22"/>
              </w:rPr>
              <w:t xml:space="preserve">The Alternative Mining Bills propose the following process for determining the areas open for mining: firstly, an inventory of existing minerals must be conducted, a mining plan formulated, and baseline information on affected watershed areas must be determined. </w:t>
            </w:r>
          </w:p>
          <w:p w:rsidR="00B84B3A" w:rsidRPr="00B84B3A" w:rsidRDefault="00B938F7" w:rsidP="00B84B3A">
            <w:pPr>
              <w:pStyle w:val="BodyText"/>
              <w:jc w:val="both"/>
              <w:rPr>
                <w:rFonts w:ascii="Tahoma" w:hAnsi="Tahoma" w:cs="Tahoma"/>
                <w:i/>
                <w:sz w:val="20"/>
                <w:szCs w:val="22"/>
              </w:rPr>
            </w:pPr>
            <w:r w:rsidRPr="00B84B3A">
              <w:rPr>
                <w:rFonts w:ascii="Tahoma" w:hAnsi="Tahoma" w:cs="Tahoma"/>
                <w:i/>
                <w:sz w:val="20"/>
                <w:szCs w:val="22"/>
              </w:rPr>
              <w:t xml:space="preserve">It is only after these data become available that the </w:t>
            </w:r>
            <w:r w:rsidR="00B84B3A" w:rsidRPr="00B84B3A">
              <w:rPr>
                <w:rFonts w:ascii="Tahoma" w:hAnsi="Tahoma" w:cs="Tahoma"/>
                <w:i/>
                <w:sz w:val="20"/>
                <w:szCs w:val="22"/>
              </w:rPr>
              <w:t xml:space="preserve">Multi-Sectoral Minerals Council </w:t>
            </w:r>
            <w:r w:rsidRPr="00B84B3A">
              <w:rPr>
                <w:rFonts w:ascii="Tahoma" w:hAnsi="Tahoma" w:cs="Tahoma"/>
                <w:i/>
                <w:sz w:val="20"/>
                <w:szCs w:val="22"/>
              </w:rPr>
              <w:t xml:space="preserve">shall convene their respective constituents to determine whether or not their respective territories may be opened for mining. </w:t>
            </w:r>
          </w:p>
          <w:p w:rsidR="00B84B3A" w:rsidRPr="00B84B3A" w:rsidRDefault="00B938F7" w:rsidP="00B84B3A">
            <w:pPr>
              <w:pStyle w:val="BodyText"/>
              <w:jc w:val="both"/>
              <w:rPr>
                <w:rFonts w:ascii="Tahoma" w:hAnsi="Tahoma" w:cs="Tahoma"/>
                <w:i/>
                <w:sz w:val="20"/>
                <w:szCs w:val="22"/>
              </w:rPr>
            </w:pPr>
            <w:r w:rsidRPr="00B84B3A">
              <w:rPr>
                <w:rFonts w:ascii="Tahoma" w:hAnsi="Tahoma" w:cs="Tahoma"/>
                <w:i/>
                <w:sz w:val="20"/>
                <w:szCs w:val="22"/>
              </w:rPr>
              <w:t xml:space="preserve">Secondly, a 2/3 vote shall be required among the </w:t>
            </w:r>
            <w:proofErr w:type="spellStart"/>
            <w:r w:rsidRPr="00B84B3A">
              <w:rPr>
                <w:rFonts w:ascii="Tahoma" w:hAnsi="Tahoma" w:cs="Tahoma"/>
                <w:i/>
                <w:sz w:val="20"/>
                <w:szCs w:val="22"/>
              </w:rPr>
              <w:t>sanggunians</w:t>
            </w:r>
            <w:proofErr w:type="spellEnd"/>
            <w:r w:rsidRPr="00B84B3A">
              <w:rPr>
                <w:rFonts w:ascii="Tahoma" w:hAnsi="Tahoma" w:cs="Tahoma"/>
                <w:i/>
                <w:sz w:val="20"/>
                <w:szCs w:val="22"/>
              </w:rPr>
              <w:t xml:space="preserve"> of the affected LGUs for the purpose of opening a particular area for mining. </w:t>
            </w:r>
          </w:p>
          <w:p w:rsidR="00B938F7" w:rsidRPr="00B84B3A" w:rsidRDefault="00B938F7" w:rsidP="00B84B3A">
            <w:pPr>
              <w:pStyle w:val="BodyText"/>
              <w:jc w:val="both"/>
              <w:rPr>
                <w:rFonts w:ascii="Tahoma" w:hAnsi="Tahoma" w:cs="Tahoma"/>
                <w:i/>
                <w:sz w:val="20"/>
                <w:szCs w:val="22"/>
              </w:rPr>
            </w:pPr>
            <w:r w:rsidRPr="00B84B3A">
              <w:rPr>
                <w:rFonts w:ascii="Tahoma" w:hAnsi="Tahoma" w:cs="Tahoma"/>
                <w:i/>
                <w:sz w:val="20"/>
                <w:szCs w:val="22"/>
              </w:rPr>
              <w:t xml:space="preserve">Thirdly, where ICCs/IPs will also be affected, their consent to the opening of the area to mining must also be secured.   </w:t>
            </w:r>
          </w:p>
          <w:p w:rsidR="00B938F7" w:rsidRPr="00B84B3A" w:rsidRDefault="00B938F7" w:rsidP="00B84B3A">
            <w:pPr>
              <w:pStyle w:val="BodyText"/>
              <w:jc w:val="both"/>
              <w:rPr>
                <w:rFonts w:ascii="Tahoma" w:hAnsi="Tahoma" w:cs="Tahoma"/>
                <w:szCs w:val="22"/>
              </w:rPr>
            </w:pPr>
            <w:r w:rsidRPr="00B84B3A">
              <w:rPr>
                <w:rFonts w:ascii="Tahoma" w:hAnsi="Tahoma" w:cs="Tahoma"/>
                <w:i/>
                <w:sz w:val="20"/>
                <w:szCs w:val="22"/>
              </w:rPr>
              <w:t>It is only after an area is decreed open for mining by the MSMC that mining proposals may be accepted thereon. The top three (3) proposals shall be recommended by the MGB to the MSMC concerned for deliberation. The deliberation process, in turn, entails another round of consultations and consents from the affected LGUs, NGOs, and stakeholders. After the consent processes are complied with, the MSMC shall then meet to decide which of the three proposals, if any, is the most acceptable, and notify the MGB of their choice.</w:t>
            </w:r>
            <w:r w:rsidR="00B84B3A" w:rsidRPr="00B84B3A">
              <w:rPr>
                <w:rFonts w:ascii="Tahoma" w:hAnsi="Tahoma" w:cs="Tahoma"/>
                <w:i/>
                <w:sz w:val="20"/>
                <w:szCs w:val="22"/>
              </w:rPr>
              <w:t>]</w:t>
            </w:r>
            <w:r w:rsidRPr="00B84B3A">
              <w:rPr>
                <w:rFonts w:ascii="Tahoma" w:hAnsi="Tahoma" w:cs="Tahoma"/>
                <w:szCs w:val="22"/>
              </w:rPr>
              <w:t xml:space="preserve">   </w:t>
            </w:r>
          </w:p>
          <w:p w:rsidR="00B938F7" w:rsidRPr="00B84B3A" w:rsidRDefault="00B938F7" w:rsidP="00B84B3A">
            <w:pPr>
              <w:pStyle w:val="BodyText"/>
              <w:jc w:val="both"/>
              <w:rPr>
                <w:rFonts w:ascii="Tahoma" w:hAnsi="Tahoma" w:cs="Tahoma"/>
                <w:szCs w:val="22"/>
              </w:rPr>
            </w:pPr>
          </w:p>
        </w:tc>
        <w:tc>
          <w:tcPr>
            <w:tcW w:w="4590" w:type="dxa"/>
          </w:tcPr>
          <w:p w:rsidR="00B938F7" w:rsidRPr="00B84B3A" w:rsidRDefault="00B84B3A" w:rsidP="00B84B3A">
            <w:pPr>
              <w:pStyle w:val="BodyText"/>
              <w:jc w:val="both"/>
              <w:rPr>
                <w:rFonts w:ascii="Tahoma" w:hAnsi="Tahoma" w:cs="Tahoma"/>
                <w:szCs w:val="22"/>
              </w:rPr>
            </w:pPr>
            <w:r w:rsidRPr="00B84B3A">
              <w:rPr>
                <w:rFonts w:ascii="Tahoma" w:hAnsi="Tahoma" w:cs="Tahoma"/>
                <w:szCs w:val="22"/>
              </w:rPr>
              <w:lastRenderedPageBreak/>
              <w:t>T</w:t>
            </w:r>
            <w:r w:rsidR="00B938F7" w:rsidRPr="00B84B3A">
              <w:rPr>
                <w:rFonts w:ascii="Tahoma" w:hAnsi="Tahoma" w:cs="Tahoma"/>
                <w:szCs w:val="22"/>
              </w:rPr>
              <w:t xml:space="preserve">he process is problematic. </w:t>
            </w:r>
            <w:r w:rsidR="00B938F7" w:rsidRPr="00B84B3A">
              <w:rPr>
                <w:rFonts w:ascii="Tahoma" w:hAnsi="Tahoma" w:cs="Tahoma"/>
                <w:b/>
                <w:szCs w:val="22"/>
              </w:rPr>
              <w:t>It is unwieldy, protracted, repetitive, and impractical</w:t>
            </w:r>
            <w:r w:rsidR="00B938F7" w:rsidRPr="00B84B3A">
              <w:rPr>
                <w:rFonts w:ascii="Tahoma" w:hAnsi="Tahoma" w:cs="Tahoma"/>
                <w:szCs w:val="22"/>
              </w:rPr>
              <w:t xml:space="preserve">. </w:t>
            </w:r>
            <w:r w:rsidR="00B938F7" w:rsidRPr="00B84B3A">
              <w:rPr>
                <w:rFonts w:ascii="Tahoma" w:hAnsi="Tahoma" w:cs="Tahoma"/>
                <w:i/>
                <w:szCs w:val="22"/>
              </w:rPr>
              <w:t>Firstly</w:t>
            </w:r>
            <w:r w:rsidR="00B938F7" w:rsidRPr="00B84B3A">
              <w:rPr>
                <w:rFonts w:ascii="Tahoma" w:hAnsi="Tahoma" w:cs="Tahoma"/>
                <w:szCs w:val="22"/>
              </w:rPr>
              <w:t xml:space="preserve">, while </w:t>
            </w:r>
            <w:r w:rsidR="00B938F7" w:rsidRPr="00B84B3A">
              <w:rPr>
                <w:rFonts w:ascii="Tahoma" w:hAnsi="Tahoma" w:cs="Tahoma"/>
                <w:i/>
                <w:szCs w:val="22"/>
              </w:rPr>
              <w:t>Sections 2(c), 26, and 27</w:t>
            </w:r>
            <w:r w:rsidR="00B938F7" w:rsidRPr="00B84B3A">
              <w:rPr>
                <w:rFonts w:ascii="Tahoma" w:hAnsi="Tahoma" w:cs="Tahoma"/>
                <w:szCs w:val="22"/>
              </w:rPr>
              <w:t xml:space="preserve"> of the Local Government Code only provides for prior </w:t>
            </w:r>
            <w:r w:rsidR="00B938F7" w:rsidRPr="00B84B3A">
              <w:rPr>
                <w:rFonts w:ascii="Tahoma" w:hAnsi="Tahoma" w:cs="Tahoma"/>
                <w:i/>
                <w:szCs w:val="22"/>
                <w:u w:val="single"/>
              </w:rPr>
              <w:t>consultation</w:t>
            </w:r>
            <w:r w:rsidR="00B938F7" w:rsidRPr="00B84B3A">
              <w:rPr>
                <w:rFonts w:ascii="Tahoma" w:hAnsi="Tahoma" w:cs="Tahoma"/>
                <w:szCs w:val="22"/>
              </w:rPr>
              <w:t xml:space="preserve"> with affected LGUs and communities, </w:t>
            </w:r>
            <w:r w:rsidR="00B938F7" w:rsidRPr="00B84B3A">
              <w:rPr>
                <w:rFonts w:ascii="Tahoma" w:hAnsi="Tahoma" w:cs="Tahoma"/>
                <w:b/>
                <w:szCs w:val="22"/>
              </w:rPr>
              <w:t xml:space="preserve">the proposed Alternative Mining Bills have taken it a step further by requiring antecedent </w:t>
            </w:r>
            <w:r w:rsidR="00B938F7" w:rsidRPr="00B84B3A">
              <w:rPr>
                <w:rFonts w:ascii="Tahoma" w:hAnsi="Tahoma" w:cs="Tahoma"/>
                <w:b/>
                <w:i/>
                <w:szCs w:val="22"/>
                <w:u w:val="single"/>
              </w:rPr>
              <w:t>consent</w:t>
            </w:r>
            <w:r w:rsidR="00B938F7" w:rsidRPr="00B84B3A">
              <w:rPr>
                <w:rFonts w:ascii="Tahoma" w:hAnsi="Tahoma" w:cs="Tahoma"/>
                <w:b/>
                <w:szCs w:val="22"/>
              </w:rPr>
              <w:t xml:space="preserve"> by </w:t>
            </w:r>
            <w:r w:rsidR="00B938F7" w:rsidRPr="00B84B3A">
              <w:rPr>
                <w:rFonts w:ascii="Tahoma" w:hAnsi="Tahoma" w:cs="Tahoma"/>
                <w:b/>
                <w:szCs w:val="22"/>
              </w:rPr>
              <w:lastRenderedPageBreak/>
              <w:t>affected LGUs before an area or areas may be opened for mining</w:t>
            </w:r>
            <w:r w:rsidR="00B938F7" w:rsidRPr="00B84B3A">
              <w:rPr>
                <w:rFonts w:ascii="Tahoma" w:hAnsi="Tahoma" w:cs="Tahoma"/>
                <w:szCs w:val="22"/>
              </w:rPr>
              <w:t xml:space="preserve">. </w:t>
            </w:r>
          </w:p>
          <w:p w:rsidR="00B938F7" w:rsidRPr="00B84B3A" w:rsidRDefault="00B938F7" w:rsidP="00B84B3A">
            <w:pPr>
              <w:pStyle w:val="BodyText"/>
              <w:jc w:val="both"/>
              <w:rPr>
                <w:rFonts w:ascii="Tahoma" w:hAnsi="Tahoma" w:cs="Tahoma"/>
                <w:szCs w:val="22"/>
              </w:rPr>
            </w:pPr>
            <w:r w:rsidRPr="00B84B3A">
              <w:rPr>
                <w:rFonts w:ascii="Tahoma" w:hAnsi="Tahoma" w:cs="Tahoma"/>
                <w:i/>
                <w:szCs w:val="22"/>
              </w:rPr>
              <w:t>Secondly</w:t>
            </w:r>
            <w:r w:rsidRPr="00B84B3A">
              <w:rPr>
                <w:rFonts w:ascii="Tahoma" w:hAnsi="Tahoma" w:cs="Tahoma"/>
                <w:szCs w:val="22"/>
              </w:rPr>
              <w:t xml:space="preserve">, while the proposed bills give </w:t>
            </w:r>
            <w:r w:rsidRPr="00B84B3A">
              <w:rPr>
                <w:rFonts w:ascii="Tahoma" w:hAnsi="Tahoma" w:cs="Tahoma"/>
                <w:i/>
                <w:szCs w:val="22"/>
              </w:rPr>
              <w:t>“guidelines”</w:t>
            </w:r>
            <w:r w:rsidRPr="00B84B3A">
              <w:rPr>
                <w:rFonts w:ascii="Tahoma" w:hAnsi="Tahoma" w:cs="Tahoma"/>
                <w:szCs w:val="22"/>
              </w:rPr>
              <w:t xml:space="preserve"> for the MSMC to consider, </w:t>
            </w:r>
            <w:r w:rsidRPr="00B84B3A">
              <w:rPr>
                <w:rFonts w:ascii="Tahoma" w:hAnsi="Tahoma" w:cs="Tahoma"/>
                <w:b/>
                <w:szCs w:val="22"/>
              </w:rPr>
              <w:t xml:space="preserve">the fact remains that the matter will still be resolved by popular vote. </w:t>
            </w:r>
            <w:r w:rsidRPr="00B84B3A">
              <w:rPr>
                <w:rFonts w:ascii="Tahoma" w:hAnsi="Tahoma" w:cs="Tahoma"/>
                <w:szCs w:val="22"/>
              </w:rPr>
              <w:t>Given the</w:t>
            </w:r>
            <w:r w:rsidRPr="00B84B3A">
              <w:rPr>
                <w:rFonts w:ascii="Tahoma" w:hAnsi="Tahoma" w:cs="Tahoma"/>
                <w:b/>
                <w:szCs w:val="22"/>
              </w:rPr>
              <w:t xml:space="preserve"> </w:t>
            </w:r>
            <w:r w:rsidRPr="00B84B3A">
              <w:rPr>
                <w:rFonts w:ascii="Tahoma" w:hAnsi="Tahoma" w:cs="Tahoma"/>
                <w:szCs w:val="22"/>
              </w:rPr>
              <w:t>realities of Philippine politics, the Chamber is concerned that the vote will be swayed, not by rational environmental and/or economic guidelines, but by the emotional campaigns and appeals by interest groups vehemently opposed to mining. Clearly, subjecting the question to a vote will not necessarily guarantee that the decision will be the correct one. The standard should always be that the proposed mining activity must have a real contribution to the economic growth and general welfare of the country.</w:t>
            </w:r>
          </w:p>
          <w:p w:rsidR="00B938F7" w:rsidRPr="00B84B3A" w:rsidRDefault="00B938F7" w:rsidP="00B84B3A">
            <w:pPr>
              <w:pStyle w:val="NoSpacing"/>
              <w:jc w:val="both"/>
              <w:rPr>
                <w:rFonts w:ascii="Tahoma" w:hAnsi="Tahoma" w:cs="Tahoma"/>
              </w:rPr>
            </w:pPr>
            <w:r w:rsidRPr="00B84B3A">
              <w:rPr>
                <w:rFonts w:ascii="Tahoma" w:hAnsi="Tahoma" w:cs="Tahoma"/>
                <w:i/>
              </w:rPr>
              <w:t>Thirdly</w:t>
            </w:r>
            <w:r w:rsidRPr="00B84B3A">
              <w:rPr>
                <w:rFonts w:ascii="Tahoma" w:hAnsi="Tahoma" w:cs="Tahoma"/>
              </w:rPr>
              <w:t xml:space="preserve">, the process incorporates a </w:t>
            </w:r>
            <w:r w:rsidR="00B84B3A" w:rsidRPr="00B84B3A">
              <w:rPr>
                <w:rFonts w:ascii="Tahoma" w:hAnsi="Tahoma" w:cs="Tahoma"/>
              </w:rPr>
              <w:t xml:space="preserve">long </w:t>
            </w:r>
            <w:r w:rsidRPr="00B84B3A">
              <w:rPr>
                <w:rFonts w:ascii="Tahoma" w:hAnsi="Tahoma" w:cs="Tahoma"/>
              </w:rPr>
              <w:t xml:space="preserve">process of </w:t>
            </w:r>
            <w:r w:rsidRPr="00B84B3A">
              <w:rPr>
                <w:rFonts w:ascii="Tahoma" w:hAnsi="Tahoma" w:cs="Tahoma"/>
                <w:i/>
              </w:rPr>
              <w:t>repeated</w:t>
            </w:r>
            <w:r w:rsidRPr="00B84B3A">
              <w:rPr>
                <w:rFonts w:ascii="Tahoma" w:hAnsi="Tahoma" w:cs="Tahoma"/>
              </w:rPr>
              <w:t xml:space="preserve"> consultations and consents </w:t>
            </w:r>
            <w:r w:rsidR="00B84B3A" w:rsidRPr="00B84B3A">
              <w:rPr>
                <w:rFonts w:ascii="Tahoma" w:hAnsi="Tahoma" w:cs="Tahoma"/>
              </w:rPr>
              <w:t xml:space="preserve">with </w:t>
            </w:r>
            <w:r w:rsidRPr="00B84B3A">
              <w:rPr>
                <w:rFonts w:ascii="Tahoma" w:hAnsi="Tahoma" w:cs="Tahoma"/>
              </w:rPr>
              <w:t xml:space="preserve">perceived </w:t>
            </w:r>
            <w:proofErr w:type="gramStart"/>
            <w:r w:rsidRPr="00B84B3A">
              <w:rPr>
                <w:rFonts w:ascii="Tahoma" w:hAnsi="Tahoma" w:cs="Tahoma"/>
              </w:rPr>
              <w:t>stakeholders that does</w:t>
            </w:r>
            <w:proofErr w:type="gramEnd"/>
            <w:r w:rsidRPr="00B84B3A">
              <w:rPr>
                <w:rFonts w:ascii="Tahoma" w:hAnsi="Tahoma" w:cs="Tahoma"/>
              </w:rPr>
              <w:t xml:space="preserve"> nothing but discourage investor interest, both local and foreign. </w:t>
            </w:r>
            <w:r w:rsidRPr="00B84B3A">
              <w:rPr>
                <w:rFonts w:ascii="Tahoma" w:hAnsi="Tahoma" w:cs="Tahoma"/>
                <w:b/>
              </w:rPr>
              <w:t>All areas, save for those enumerated under the Mining Act of 1995, should be open to mining</w:t>
            </w:r>
            <w:r w:rsidRPr="00B84B3A">
              <w:rPr>
                <w:rFonts w:ascii="Tahoma" w:hAnsi="Tahoma" w:cs="Tahoma"/>
              </w:rPr>
              <w:t xml:space="preserve">. This is only consistent with the provision of the Constitution that </w:t>
            </w:r>
            <w:r w:rsidRPr="00B84B3A">
              <w:rPr>
                <w:rFonts w:ascii="Tahoma" w:hAnsi="Tahoma" w:cs="Tahoma"/>
                <w:i/>
              </w:rPr>
              <w:t>all lands of the public domain and the natural resources found therein are owned by the State, and that the exploration, development, and utilization of these natural resources shall be under the full control and supervision of the State</w:t>
            </w:r>
            <w:r w:rsidRPr="00B84B3A">
              <w:rPr>
                <w:rFonts w:ascii="Tahoma" w:hAnsi="Tahoma" w:cs="Tahoma"/>
              </w:rPr>
              <w:t>. To increase the number of areas closed to mining, and to even subject the matter to the discretion of a select few is clearly contrary to the intent of the Constitution.</w:t>
            </w:r>
          </w:p>
        </w:tc>
      </w:tr>
      <w:tr w:rsidR="0025799B" w:rsidRPr="00B84B3A" w:rsidTr="00A75573">
        <w:tc>
          <w:tcPr>
            <w:tcW w:w="4590" w:type="dxa"/>
          </w:tcPr>
          <w:p w:rsidR="0025799B" w:rsidRPr="00B84B3A" w:rsidRDefault="0025799B" w:rsidP="00B84B3A">
            <w:pPr>
              <w:pStyle w:val="NoSpacing"/>
              <w:jc w:val="both"/>
              <w:rPr>
                <w:rFonts w:ascii="Tahoma" w:hAnsi="Tahoma" w:cs="Tahoma"/>
              </w:rPr>
            </w:pPr>
            <w:r w:rsidRPr="00B84B3A">
              <w:rPr>
                <w:rFonts w:ascii="Tahoma" w:hAnsi="Tahoma" w:cs="Tahoma"/>
                <w:b/>
              </w:rPr>
              <w:lastRenderedPageBreak/>
              <w:t xml:space="preserve">Maximum areas for mineral agreements is </w:t>
            </w:r>
            <w:r w:rsidR="0011078C" w:rsidRPr="00B84B3A">
              <w:rPr>
                <w:rFonts w:ascii="Tahoma" w:hAnsi="Tahoma" w:cs="Tahoma"/>
                <w:b/>
              </w:rPr>
              <w:t xml:space="preserve">capped at </w:t>
            </w:r>
            <w:r w:rsidRPr="00B84B3A">
              <w:rPr>
                <w:rFonts w:ascii="Tahoma" w:hAnsi="Tahoma" w:cs="Tahoma"/>
                <w:b/>
              </w:rPr>
              <w:t>500 hectares</w:t>
            </w:r>
            <w:r w:rsidRPr="00B84B3A">
              <w:rPr>
                <w:rFonts w:ascii="Tahoma" w:hAnsi="Tahoma" w:cs="Tahoma"/>
              </w:rPr>
              <w:t>, with maximum cumulative amount of 750 hectares within a particular watershed</w:t>
            </w:r>
          </w:p>
        </w:tc>
        <w:tc>
          <w:tcPr>
            <w:tcW w:w="4590" w:type="dxa"/>
          </w:tcPr>
          <w:p w:rsidR="0025799B" w:rsidRPr="00B84B3A" w:rsidRDefault="009E561A" w:rsidP="00B84B3A">
            <w:pPr>
              <w:pStyle w:val="NoSpacing"/>
              <w:jc w:val="both"/>
              <w:rPr>
                <w:rFonts w:ascii="Tahoma" w:hAnsi="Tahoma" w:cs="Tahoma"/>
              </w:rPr>
            </w:pPr>
            <w:r w:rsidRPr="00B84B3A">
              <w:rPr>
                <w:rFonts w:ascii="Tahoma" w:hAnsi="Tahoma" w:cs="Tahoma"/>
              </w:rPr>
              <w:t>The 500-hectare limit is too small in order to operate a commercially viable mining operation.</w:t>
            </w:r>
          </w:p>
          <w:p w:rsidR="009E561A" w:rsidRPr="00B84B3A" w:rsidRDefault="009E561A" w:rsidP="00B84B3A">
            <w:pPr>
              <w:pStyle w:val="NoSpacing"/>
              <w:jc w:val="both"/>
              <w:rPr>
                <w:rFonts w:ascii="Tahoma" w:hAnsi="Tahoma" w:cs="Tahoma"/>
              </w:rPr>
            </w:pPr>
          </w:p>
          <w:p w:rsidR="009E561A" w:rsidRPr="00B84B3A" w:rsidRDefault="009E561A" w:rsidP="00B84B3A">
            <w:pPr>
              <w:pStyle w:val="NoSpacing"/>
              <w:jc w:val="both"/>
              <w:rPr>
                <w:rFonts w:ascii="Tahoma" w:hAnsi="Tahoma" w:cs="Tahoma"/>
              </w:rPr>
            </w:pPr>
            <w:r w:rsidRPr="00B84B3A">
              <w:rPr>
                <w:rFonts w:ascii="Tahoma" w:hAnsi="Tahoma" w:cs="Tahoma"/>
              </w:rPr>
              <w:t xml:space="preserve">The proposed Multi-Sectoral Mineral Council does not have the technical capability to make decisions involving maximum areas to be held under mineral agreements, terms, capitalization requirements, and other technical matters. This fact will undermine </w:t>
            </w:r>
            <w:r w:rsidRPr="00B84B3A">
              <w:rPr>
                <w:rFonts w:ascii="Tahoma" w:hAnsi="Tahoma" w:cs="Tahoma"/>
              </w:rPr>
              <w:lastRenderedPageBreak/>
              <w:t>and prejudice the State’s capacity to direct the development and use of strategic mineral resources.</w:t>
            </w:r>
          </w:p>
        </w:tc>
      </w:tr>
      <w:tr w:rsidR="0025799B" w:rsidRPr="00B84B3A" w:rsidTr="00A75573">
        <w:tc>
          <w:tcPr>
            <w:tcW w:w="4590" w:type="dxa"/>
          </w:tcPr>
          <w:p w:rsidR="0025799B" w:rsidRPr="00B84B3A" w:rsidRDefault="0025799B" w:rsidP="00B84B3A">
            <w:pPr>
              <w:pStyle w:val="NoSpacing"/>
              <w:jc w:val="both"/>
              <w:rPr>
                <w:rFonts w:ascii="Tahoma" w:hAnsi="Tahoma" w:cs="Tahoma"/>
                <w:b/>
              </w:rPr>
            </w:pPr>
            <w:r w:rsidRPr="00B84B3A">
              <w:rPr>
                <w:rFonts w:ascii="Tahoma" w:hAnsi="Tahoma" w:cs="Tahoma"/>
                <w:b/>
              </w:rPr>
              <w:lastRenderedPageBreak/>
              <w:t xml:space="preserve">Maximum term for </w:t>
            </w:r>
            <w:r w:rsidR="0011078C" w:rsidRPr="00B84B3A">
              <w:rPr>
                <w:rFonts w:ascii="Tahoma" w:hAnsi="Tahoma" w:cs="Tahoma"/>
                <w:b/>
              </w:rPr>
              <w:t xml:space="preserve">any mineral rights </w:t>
            </w:r>
            <w:r w:rsidRPr="00B84B3A">
              <w:rPr>
                <w:rFonts w:ascii="Tahoma" w:hAnsi="Tahoma" w:cs="Tahoma"/>
                <w:b/>
              </w:rPr>
              <w:t xml:space="preserve">contract is </w:t>
            </w:r>
            <w:r w:rsidR="0011078C" w:rsidRPr="00B84B3A">
              <w:rPr>
                <w:rFonts w:ascii="Tahoma" w:hAnsi="Tahoma" w:cs="Tahoma"/>
                <w:b/>
              </w:rPr>
              <w:t>FIFTEEN (15) YEARS</w:t>
            </w:r>
            <w:r w:rsidRPr="00B84B3A">
              <w:rPr>
                <w:rFonts w:ascii="Tahoma" w:hAnsi="Tahoma" w:cs="Tahoma"/>
                <w:b/>
              </w:rPr>
              <w:t>;</w:t>
            </w:r>
          </w:p>
        </w:tc>
        <w:tc>
          <w:tcPr>
            <w:tcW w:w="4590" w:type="dxa"/>
          </w:tcPr>
          <w:p w:rsidR="0025799B" w:rsidRPr="00B84B3A" w:rsidRDefault="0025799B" w:rsidP="00B84B3A">
            <w:pPr>
              <w:pStyle w:val="NoSpacing"/>
              <w:jc w:val="both"/>
              <w:rPr>
                <w:rFonts w:ascii="Tahoma" w:hAnsi="Tahoma" w:cs="Tahoma"/>
              </w:rPr>
            </w:pPr>
            <w:r w:rsidRPr="00B84B3A">
              <w:rPr>
                <w:rFonts w:ascii="Tahoma" w:hAnsi="Tahoma" w:cs="Tahoma"/>
              </w:rPr>
              <w:t xml:space="preserve">Not only is the 15-year term limit too short, it also violates </w:t>
            </w:r>
            <w:r w:rsidRPr="00B84B3A">
              <w:rPr>
                <w:rFonts w:ascii="Tahoma" w:hAnsi="Tahoma" w:cs="Tahoma"/>
                <w:i/>
              </w:rPr>
              <w:t>Section 2, Article XII</w:t>
            </w:r>
            <w:r w:rsidRPr="00B84B3A">
              <w:rPr>
                <w:rFonts w:ascii="Tahoma" w:hAnsi="Tahoma" w:cs="Tahoma"/>
              </w:rPr>
              <w:t xml:space="preserve"> of the Philippine Constitution which states that ―such agreements may be for a period not exceeding twenty–five years, renewable for not more than twenty-five years, and under such terms and conditions as may be provided by law.‖ A law may not disallow what the Philippine Constitution permits, i.e., the term of a mineral agreement may exceed 15 years (which is the limit under the Bill), but should not be more than 25 years, renewable for not more than 25 years. </w:t>
            </w:r>
          </w:p>
        </w:tc>
      </w:tr>
    </w:tbl>
    <w:p w:rsidR="00480B25" w:rsidRPr="00B84B3A" w:rsidRDefault="00480B25" w:rsidP="00B84B3A">
      <w:pPr>
        <w:pStyle w:val="NoSpacing"/>
        <w:jc w:val="both"/>
        <w:rPr>
          <w:rFonts w:ascii="Tahoma" w:hAnsi="Tahoma" w:cs="Tahoma"/>
        </w:rPr>
      </w:pPr>
    </w:p>
    <w:sectPr w:rsidR="00480B25" w:rsidRPr="00B84B3A" w:rsidSect="00803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C3BD2"/>
    <w:multiLevelType w:val="hybridMultilevel"/>
    <w:tmpl w:val="293A1712"/>
    <w:lvl w:ilvl="0" w:tplc="4B126734">
      <w:start w:val="1"/>
      <w:numFmt w:val="bullet"/>
      <w:lvlText w:val=""/>
      <w:lvlJc w:val="left"/>
      <w:pPr>
        <w:tabs>
          <w:tab w:val="num" w:pos="720"/>
        </w:tabs>
        <w:ind w:left="720" w:hanging="360"/>
      </w:pPr>
      <w:rPr>
        <w:rFonts w:ascii="Wingdings" w:hAnsi="Wingdings" w:hint="default"/>
      </w:rPr>
    </w:lvl>
    <w:lvl w:ilvl="1" w:tplc="AFFC0A1C">
      <w:start w:val="1"/>
      <w:numFmt w:val="bullet"/>
      <w:lvlText w:val=""/>
      <w:lvlJc w:val="left"/>
      <w:pPr>
        <w:tabs>
          <w:tab w:val="num" w:pos="1440"/>
        </w:tabs>
        <w:ind w:left="1440" w:hanging="360"/>
      </w:pPr>
      <w:rPr>
        <w:rFonts w:ascii="Wingdings" w:hAnsi="Wingdings" w:hint="default"/>
      </w:rPr>
    </w:lvl>
    <w:lvl w:ilvl="2" w:tplc="2376B204" w:tentative="1">
      <w:start w:val="1"/>
      <w:numFmt w:val="bullet"/>
      <w:lvlText w:val=""/>
      <w:lvlJc w:val="left"/>
      <w:pPr>
        <w:tabs>
          <w:tab w:val="num" w:pos="2160"/>
        </w:tabs>
        <w:ind w:left="2160" w:hanging="360"/>
      </w:pPr>
      <w:rPr>
        <w:rFonts w:ascii="Wingdings" w:hAnsi="Wingdings" w:hint="default"/>
      </w:rPr>
    </w:lvl>
    <w:lvl w:ilvl="3" w:tplc="D076F378" w:tentative="1">
      <w:start w:val="1"/>
      <w:numFmt w:val="bullet"/>
      <w:lvlText w:val=""/>
      <w:lvlJc w:val="left"/>
      <w:pPr>
        <w:tabs>
          <w:tab w:val="num" w:pos="2880"/>
        </w:tabs>
        <w:ind w:left="2880" w:hanging="360"/>
      </w:pPr>
      <w:rPr>
        <w:rFonts w:ascii="Wingdings" w:hAnsi="Wingdings" w:hint="default"/>
      </w:rPr>
    </w:lvl>
    <w:lvl w:ilvl="4" w:tplc="D276B750" w:tentative="1">
      <w:start w:val="1"/>
      <w:numFmt w:val="bullet"/>
      <w:lvlText w:val=""/>
      <w:lvlJc w:val="left"/>
      <w:pPr>
        <w:tabs>
          <w:tab w:val="num" w:pos="3600"/>
        </w:tabs>
        <w:ind w:left="3600" w:hanging="360"/>
      </w:pPr>
      <w:rPr>
        <w:rFonts w:ascii="Wingdings" w:hAnsi="Wingdings" w:hint="default"/>
      </w:rPr>
    </w:lvl>
    <w:lvl w:ilvl="5" w:tplc="F9BA180A" w:tentative="1">
      <w:start w:val="1"/>
      <w:numFmt w:val="bullet"/>
      <w:lvlText w:val=""/>
      <w:lvlJc w:val="left"/>
      <w:pPr>
        <w:tabs>
          <w:tab w:val="num" w:pos="4320"/>
        </w:tabs>
        <w:ind w:left="4320" w:hanging="360"/>
      </w:pPr>
      <w:rPr>
        <w:rFonts w:ascii="Wingdings" w:hAnsi="Wingdings" w:hint="default"/>
      </w:rPr>
    </w:lvl>
    <w:lvl w:ilvl="6" w:tplc="7F740E0A" w:tentative="1">
      <w:start w:val="1"/>
      <w:numFmt w:val="bullet"/>
      <w:lvlText w:val=""/>
      <w:lvlJc w:val="left"/>
      <w:pPr>
        <w:tabs>
          <w:tab w:val="num" w:pos="5040"/>
        </w:tabs>
        <w:ind w:left="5040" w:hanging="360"/>
      </w:pPr>
      <w:rPr>
        <w:rFonts w:ascii="Wingdings" w:hAnsi="Wingdings" w:hint="default"/>
      </w:rPr>
    </w:lvl>
    <w:lvl w:ilvl="7" w:tplc="EDB4C52C" w:tentative="1">
      <w:start w:val="1"/>
      <w:numFmt w:val="bullet"/>
      <w:lvlText w:val=""/>
      <w:lvlJc w:val="left"/>
      <w:pPr>
        <w:tabs>
          <w:tab w:val="num" w:pos="5760"/>
        </w:tabs>
        <w:ind w:left="5760" w:hanging="360"/>
      </w:pPr>
      <w:rPr>
        <w:rFonts w:ascii="Wingdings" w:hAnsi="Wingdings" w:hint="default"/>
      </w:rPr>
    </w:lvl>
    <w:lvl w:ilvl="8" w:tplc="B9A44E9E" w:tentative="1">
      <w:start w:val="1"/>
      <w:numFmt w:val="bullet"/>
      <w:lvlText w:val=""/>
      <w:lvlJc w:val="left"/>
      <w:pPr>
        <w:tabs>
          <w:tab w:val="num" w:pos="6480"/>
        </w:tabs>
        <w:ind w:left="6480" w:hanging="360"/>
      </w:pPr>
      <w:rPr>
        <w:rFonts w:ascii="Wingdings" w:hAnsi="Wingdings" w:hint="default"/>
      </w:rPr>
    </w:lvl>
  </w:abstractNum>
  <w:abstractNum w:abstractNumId="1">
    <w:nsid w:val="30A27704"/>
    <w:multiLevelType w:val="hybridMultilevel"/>
    <w:tmpl w:val="6030A960"/>
    <w:lvl w:ilvl="0" w:tplc="4732984E">
      <w:start w:val="1"/>
      <w:numFmt w:val="bullet"/>
      <w:lvlText w:val=""/>
      <w:lvlJc w:val="left"/>
      <w:pPr>
        <w:tabs>
          <w:tab w:val="num" w:pos="720"/>
        </w:tabs>
        <w:ind w:left="720" w:hanging="360"/>
      </w:pPr>
      <w:rPr>
        <w:rFonts w:ascii="Wingdings 2" w:hAnsi="Wingdings 2" w:hint="default"/>
      </w:rPr>
    </w:lvl>
    <w:lvl w:ilvl="1" w:tplc="50089A2A">
      <w:start w:val="528"/>
      <w:numFmt w:val="bullet"/>
      <w:lvlText w:val=""/>
      <w:lvlJc w:val="left"/>
      <w:pPr>
        <w:tabs>
          <w:tab w:val="num" w:pos="1440"/>
        </w:tabs>
        <w:ind w:left="1440" w:hanging="360"/>
      </w:pPr>
      <w:rPr>
        <w:rFonts w:ascii="Wingdings" w:hAnsi="Wingdings" w:hint="default"/>
      </w:rPr>
    </w:lvl>
    <w:lvl w:ilvl="2" w:tplc="A3347DFC" w:tentative="1">
      <w:start w:val="1"/>
      <w:numFmt w:val="bullet"/>
      <w:lvlText w:val=""/>
      <w:lvlJc w:val="left"/>
      <w:pPr>
        <w:tabs>
          <w:tab w:val="num" w:pos="2160"/>
        </w:tabs>
        <w:ind w:left="2160" w:hanging="360"/>
      </w:pPr>
      <w:rPr>
        <w:rFonts w:ascii="Wingdings 2" w:hAnsi="Wingdings 2" w:hint="default"/>
      </w:rPr>
    </w:lvl>
    <w:lvl w:ilvl="3" w:tplc="BC3E4B9C" w:tentative="1">
      <w:start w:val="1"/>
      <w:numFmt w:val="bullet"/>
      <w:lvlText w:val=""/>
      <w:lvlJc w:val="left"/>
      <w:pPr>
        <w:tabs>
          <w:tab w:val="num" w:pos="2880"/>
        </w:tabs>
        <w:ind w:left="2880" w:hanging="360"/>
      </w:pPr>
      <w:rPr>
        <w:rFonts w:ascii="Wingdings 2" w:hAnsi="Wingdings 2" w:hint="default"/>
      </w:rPr>
    </w:lvl>
    <w:lvl w:ilvl="4" w:tplc="1C1E16E6" w:tentative="1">
      <w:start w:val="1"/>
      <w:numFmt w:val="bullet"/>
      <w:lvlText w:val=""/>
      <w:lvlJc w:val="left"/>
      <w:pPr>
        <w:tabs>
          <w:tab w:val="num" w:pos="3600"/>
        </w:tabs>
        <w:ind w:left="3600" w:hanging="360"/>
      </w:pPr>
      <w:rPr>
        <w:rFonts w:ascii="Wingdings 2" w:hAnsi="Wingdings 2" w:hint="default"/>
      </w:rPr>
    </w:lvl>
    <w:lvl w:ilvl="5" w:tplc="B832FAA8" w:tentative="1">
      <w:start w:val="1"/>
      <w:numFmt w:val="bullet"/>
      <w:lvlText w:val=""/>
      <w:lvlJc w:val="left"/>
      <w:pPr>
        <w:tabs>
          <w:tab w:val="num" w:pos="4320"/>
        </w:tabs>
        <w:ind w:left="4320" w:hanging="360"/>
      </w:pPr>
      <w:rPr>
        <w:rFonts w:ascii="Wingdings 2" w:hAnsi="Wingdings 2" w:hint="default"/>
      </w:rPr>
    </w:lvl>
    <w:lvl w:ilvl="6" w:tplc="977AD324" w:tentative="1">
      <w:start w:val="1"/>
      <w:numFmt w:val="bullet"/>
      <w:lvlText w:val=""/>
      <w:lvlJc w:val="left"/>
      <w:pPr>
        <w:tabs>
          <w:tab w:val="num" w:pos="5040"/>
        </w:tabs>
        <w:ind w:left="5040" w:hanging="360"/>
      </w:pPr>
      <w:rPr>
        <w:rFonts w:ascii="Wingdings 2" w:hAnsi="Wingdings 2" w:hint="default"/>
      </w:rPr>
    </w:lvl>
    <w:lvl w:ilvl="7" w:tplc="9C0641DA" w:tentative="1">
      <w:start w:val="1"/>
      <w:numFmt w:val="bullet"/>
      <w:lvlText w:val=""/>
      <w:lvlJc w:val="left"/>
      <w:pPr>
        <w:tabs>
          <w:tab w:val="num" w:pos="5760"/>
        </w:tabs>
        <w:ind w:left="5760" w:hanging="360"/>
      </w:pPr>
      <w:rPr>
        <w:rFonts w:ascii="Wingdings 2" w:hAnsi="Wingdings 2" w:hint="default"/>
      </w:rPr>
    </w:lvl>
    <w:lvl w:ilvl="8" w:tplc="A9048FBE" w:tentative="1">
      <w:start w:val="1"/>
      <w:numFmt w:val="bullet"/>
      <w:lvlText w:val=""/>
      <w:lvlJc w:val="left"/>
      <w:pPr>
        <w:tabs>
          <w:tab w:val="num" w:pos="6480"/>
        </w:tabs>
        <w:ind w:left="6480" w:hanging="360"/>
      </w:pPr>
      <w:rPr>
        <w:rFonts w:ascii="Wingdings 2" w:hAnsi="Wingdings 2" w:hint="default"/>
      </w:rPr>
    </w:lvl>
  </w:abstractNum>
  <w:abstractNum w:abstractNumId="2">
    <w:nsid w:val="36AC187A"/>
    <w:multiLevelType w:val="hybridMultilevel"/>
    <w:tmpl w:val="CCF0A85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60F01030"/>
    <w:multiLevelType w:val="hybridMultilevel"/>
    <w:tmpl w:val="4528A61E"/>
    <w:lvl w:ilvl="0" w:tplc="456825E6">
      <w:start w:val="1"/>
      <w:numFmt w:val="bullet"/>
      <w:lvlText w:val=""/>
      <w:lvlJc w:val="left"/>
      <w:pPr>
        <w:tabs>
          <w:tab w:val="num" w:pos="720"/>
        </w:tabs>
        <w:ind w:left="720" w:hanging="360"/>
      </w:pPr>
      <w:rPr>
        <w:rFonts w:ascii="Wingdings" w:hAnsi="Wingdings" w:hint="default"/>
      </w:rPr>
    </w:lvl>
    <w:lvl w:ilvl="1" w:tplc="6C243E2C">
      <w:start w:val="1"/>
      <w:numFmt w:val="bullet"/>
      <w:lvlText w:val=""/>
      <w:lvlJc w:val="left"/>
      <w:pPr>
        <w:tabs>
          <w:tab w:val="num" w:pos="1440"/>
        </w:tabs>
        <w:ind w:left="1440" w:hanging="360"/>
      </w:pPr>
      <w:rPr>
        <w:rFonts w:ascii="Wingdings" w:hAnsi="Wingdings" w:hint="default"/>
      </w:rPr>
    </w:lvl>
    <w:lvl w:ilvl="2" w:tplc="83FCE61C" w:tentative="1">
      <w:start w:val="1"/>
      <w:numFmt w:val="bullet"/>
      <w:lvlText w:val=""/>
      <w:lvlJc w:val="left"/>
      <w:pPr>
        <w:tabs>
          <w:tab w:val="num" w:pos="2160"/>
        </w:tabs>
        <w:ind w:left="2160" w:hanging="360"/>
      </w:pPr>
      <w:rPr>
        <w:rFonts w:ascii="Wingdings" w:hAnsi="Wingdings" w:hint="default"/>
      </w:rPr>
    </w:lvl>
    <w:lvl w:ilvl="3" w:tplc="4BA8FAAE" w:tentative="1">
      <w:start w:val="1"/>
      <w:numFmt w:val="bullet"/>
      <w:lvlText w:val=""/>
      <w:lvlJc w:val="left"/>
      <w:pPr>
        <w:tabs>
          <w:tab w:val="num" w:pos="2880"/>
        </w:tabs>
        <w:ind w:left="2880" w:hanging="360"/>
      </w:pPr>
      <w:rPr>
        <w:rFonts w:ascii="Wingdings" w:hAnsi="Wingdings" w:hint="default"/>
      </w:rPr>
    </w:lvl>
    <w:lvl w:ilvl="4" w:tplc="8BF4B0FC" w:tentative="1">
      <w:start w:val="1"/>
      <w:numFmt w:val="bullet"/>
      <w:lvlText w:val=""/>
      <w:lvlJc w:val="left"/>
      <w:pPr>
        <w:tabs>
          <w:tab w:val="num" w:pos="3600"/>
        </w:tabs>
        <w:ind w:left="3600" w:hanging="360"/>
      </w:pPr>
      <w:rPr>
        <w:rFonts w:ascii="Wingdings" w:hAnsi="Wingdings" w:hint="default"/>
      </w:rPr>
    </w:lvl>
    <w:lvl w:ilvl="5" w:tplc="43C8A06A" w:tentative="1">
      <w:start w:val="1"/>
      <w:numFmt w:val="bullet"/>
      <w:lvlText w:val=""/>
      <w:lvlJc w:val="left"/>
      <w:pPr>
        <w:tabs>
          <w:tab w:val="num" w:pos="4320"/>
        </w:tabs>
        <w:ind w:left="4320" w:hanging="360"/>
      </w:pPr>
      <w:rPr>
        <w:rFonts w:ascii="Wingdings" w:hAnsi="Wingdings" w:hint="default"/>
      </w:rPr>
    </w:lvl>
    <w:lvl w:ilvl="6" w:tplc="9EA6ED46" w:tentative="1">
      <w:start w:val="1"/>
      <w:numFmt w:val="bullet"/>
      <w:lvlText w:val=""/>
      <w:lvlJc w:val="left"/>
      <w:pPr>
        <w:tabs>
          <w:tab w:val="num" w:pos="5040"/>
        </w:tabs>
        <w:ind w:left="5040" w:hanging="360"/>
      </w:pPr>
      <w:rPr>
        <w:rFonts w:ascii="Wingdings" w:hAnsi="Wingdings" w:hint="default"/>
      </w:rPr>
    </w:lvl>
    <w:lvl w:ilvl="7" w:tplc="50C8998A" w:tentative="1">
      <w:start w:val="1"/>
      <w:numFmt w:val="bullet"/>
      <w:lvlText w:val=""/>
      <w:lvlJc w:val="left"/>
      <w:pPr>
        <w:tabs>
          <w:tab w:val="num" w:pos="5760"/>
        </w:tabs>
        <w:ind w:left="5760" w:hanging="360"/>
      </w:pPr>
      <w:rPr>
        <w:rFonts w:ascii="Wingdings" w:hAnsi="Wingdings" w:hint="default"/>
      </w:rPr>
    </w:lvl>
    <w:lvl w:ilvl="8" w:tplc="EFF2B6A2" w:tentative="1">
      <w:start w:val="1"/>
      <w:numFmt w:val="bullet"/>
      <w:lvlText w:val=""/>
      <w:lvlJc w:val="left"/>
      <w:pPr>
        <w:tabs>
          <w:tab w:val="num" w:pos="6480"/>
        </w:tabs>
        <w:ind w:left="6480" w:hanging="360"/>
      </w:pPr>
      <w:rPr>
        <w:rFonts w:ascii="Wingdings" w:hAnsi="Wingdings" w:hint="default"/>
      </w:rPr>
    </w:lvl>
  </w:abstractNum>
  <w:abstractNum w:abstractNumId="4">
    <w:nsid w:val="7A5F6527"/>
    <w:multiLevelType w:val="hybridMultilevel"/>
    <w:tmpl w:val="2474B73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573"/>
    <w:rsid w:val="0011078C"/>
    <w:rsid w:val="00147D1A"/>
    <w:rsid w:val="0025799B"/>
    <w:rsid w:val="00377B8F"/>
    <w:rsid w:val="00480B25"/>
    <w:rsid w:val="00767D5E"/>
    <w:rsid w:val="007A3896"/>
    <w:rsid w:val="007F2BFF"/>
    <w:rsid w:val="008031B7"/>
    <w:rsid w:val="009E561A"/>
    <w:rsid w:val="009F6916"/>
    <w:rsid w:val="00A75573"/>
    <w:rsid w:val="00B84B3A"/>
    <w:rsid w:val="00B938F7"/>
    <w:rsid w:val="00D8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PH"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5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80B2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80B25"/>
    <w:pPr>
      <w:ind w:left="720"/>
      <w:contextualSpacing/>
    </w:pPr>
  </w:style>
  <w:style w:type="paragraph" w:styleId="NoSpacing">
    <w:name w:val="No Spacing"/>
    <w:uiPriority w:val="1"/>
    <w:qFormat/>
    <w:rsid w:val="00480B25"/>
    <w:pPr>
      <w:spacing w:after="0" w:line="240" w:lineRule="auto"/>
    </w:pPr>
  </w:style>
  <w:style w:type="paragraph" w:styleId="BodyText">
    <w:name w:val="Body Text"/>
    <w:basedOn w:val="Normal"/>
    <w:link w:val="BodyTextChar"/>
    <w:rsid w:val="00B938F7"/>
    <w:pPr>
      <w:tabs>
        <w:tab w:val="left" w:pos="709"/>
        <w:tab w:val="left" w:pos="1418"/>
        <w:tab w:val="left" w:pos="2126"/>
        <w:tab w:val="left" w:pos="2835"/>
        <w:tab w:val="right" w:pos="9072"/>
      </w:tabs>
      <w:spacing w:after="180" w:line="260" w:lineRule="atLeas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938F7"/>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7F2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B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PH"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5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80B2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80B25"/>
    <w:pPr>
      <w:ind w:left="720"/>
      <w:contextualSpacing/>
    </w:pPr>
  </w:style>
  <w:style w:type="paragraph" w:styleId="NoSpacing">
    <w:name w:val="No Spacing"/>
    <w:uiPriority w:val="1"/>
    <w:qFormat/>
    <w:rsid w:val="00480B25"/>
    <w:pPr>
      <w:spacing w:after="0" w:line="240" w:lineRule="auto"/>
    </w:pPr>
  </w:style>
  <w:style w:type="paragraph" w:styleId="BodyText">
    <w:name w:val="Body Text"/>
    <w:basedOn w:val="Normal"/>
    <w:link w:val="BodyTextChar"/>
    <w:rsid w:val="00B938F7"/>
    <w:pPr>
      <w:tabs>
        <w:tab w:val="left" w:pos="709"/>
        <w:tab w:val="left" w:pos="1418"/>
        <w:tab w:val="left" w:pos="2126"/>
        <w:tab w:val="left" w:pos="2835"/>
        <w:tab w:val="right" w:pos="9072"/>
      </w:tabs>
      <w:spacing w:after="180" w:line="260" w:lineRule="atLeas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938F7"/>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7F2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019658">
      <w:bodyDiv w:val="1"/>
      <w:marLeft w:val="0"/>
      <w:marRight w:val="0"/>
      <w:marTop w:val="0"/>
      <w:marBottom w:val="0"/>
      <w:divBdr>
        <w:top w:val="none" w:sz="0" w:space="0" w:color="auto"/>
        <w:left w:val="none" w:sz="0" w:space="0" w:color="auto"/>
        <w:bottom w:val="none" w:sz="0" w:space="0" w:color="auto"/>
        <w:right w:val="none" w:sz="0" w:space="0" w:color="auto"/>
      </w:divBdr>
      <w:divsChild>
        <w:div w:id="1855225304">
          <w:marLeft w:val="1152"/>
          <w:marRight w:val="0"/>
          <w:marTop w:val="125"/>
          <w:marBottom w:val="0"/>
          <w:divBdr>
            <w:top w:val="none" w:sz="0" w:space="0" w:color="auto"/>
            <w:left w:val="none" w:sz="0" w:space="0" w:color="auto"/>
            <w:bottom w:val="none" w:sz="0" w:space="0" w:color="auto"/>
            <w:right w:val="none" w:sz="0" w:space="0" w:color="auto"/>
          </w:divBdr>
        </w:div>
        <w:div w:id="1937860702">
          <w:marLeft w:val="1152"/>
          <w:marRight w:val="0"/>
          <w:marTop w:val="125"/>
          <w:marBottom w:val="0"/>
          <w:divBdr>
            <w:top w:val="none" w:sz="0" w:space="0" w:color="auto"/>
            <w:left w:val="none" w:sz="0" w:space="0" w:color="auto"/>
            <w:bottom w:val="none" w:sz="0" w:space="0" w:color="auto"/>
            <w:right w:val="none" w:sz="0" w:space="0" w:color="auto"/>
          </w:divBdr>
        </w:div>
        <w:div w:id="53621407">
          <w:marLeft w:val="1152"/>
          <w:marRight w:val="0"/>
          <w:marTop w:val="125"/>
          <w:marBottom w:val="0"/>
          <w:divBdr>
            <w:top w:val="none" w:sz="0" w:space="0" w:color="auto"/>
            <w:left w:val="none" w:sz="0" w:space="0" w:color="auto"/>
            <w:bottom w:val="none" w:sz="0" w:space="0" w:color="auto"/>
            <w:right w:val="none" w:sz="0" w:space="0" w:color="auto"/>
          </w:divBdr>
        </w:div>
        <w:div w:id="533739525">
          <w:marLeft w:val="1152"/>
          <w:marRight w:val="0"/>
          <w:marTop w:val="125"/>
          <w:marBottom w:val="0"/>
          <w:divBdr>
            <w:top w:val="none" w:sz="0" w:space="0" w:color="auto"/>
            <w:left w:val="none" w:sz="0" w:space="0" w:color="auto"/>
            <w:bottom w:val="none" w:sz="0" w:space="0" w:color="auto"/>
            <w:right w:val="none" w:sz="0" w:space="0" w:color="auto"/>
          </w:divBdr>
        </w:div>
      </w:divsChild>
    </w:div>
    <w:div w:id="1739596140">
      <w:bodyDiv w:val="1"/>
      <w:marLeft w:val="0"/>
      <w:marRight w:val="0"/>
      <w:marTop w:val="0"/>
      <w:marBottom w:val="0"/>
      <w:divBdr>
        <w:top w:val="none" w:sz="0" w:space="0" w:color="auto"/>
        <w:left w:val="none" w:sz="0" w:space="0" w:color="auto"/>
        <w:bottom w:val="none" w:sz="0" w:space="0" w:color="auto"/>
        <w:right w:val="none" w:sz="0" w:space="0" w:color="auto"/>
      </w:divBdr>
      <w:divsChild>
        <w:div w:id="2128424628">
          <w:marLeft w:val="691"/>
          <w:marRight w:val="0"/>
          <w:marTop w:val="0"/>
          <w:marBottom w:val="0"/>
          <w:divBdr>
            <w:top w:val="none" w:sz="0" w:space="0" w:color="auto"/>
            <w:left w:val="none" w:sz="0" w:space="0" w:color="auto"/>
            <w:bottom w:val="none" w:sz="0" w:space="0" w:color="auto"/>
            <w:right w:val="none" w:sz="0" w:space="0" w:color="auto"/>
          </w:divBdr>
        </w:div>
        <w:div w:id="1449467521">
          <w:marLeft w:val="1152"/>
          <w:marRight w:val="0"/>
          <w:marTop w:val="125"/>
          <w:marBottom w:val="0"/>
          <w:divBdr>
            <w:top w:val="none" w:sz="0" w:space="0" w:color="auto"/>
            <w:left w:val="none" w:sz="0" w:space="0" w:color="auto"/>
            <w:bottom w:val="none" w:sz="0" w:space="0" w:color="auto"/>
            <w:right w:val="none" w:sz="0" w:space="0" w:color="auto"/>
          </w:divBdr>
        </w:div>
        <w:div w:id="960839637">
          <w:marLeft w:val="1152"/>
          <w:marRight w:val="0"/>
          <w:marTop w:val="125"/>
          <w:marBottom w:val="0"/>
          <w:divBdr>
            <w:top w:val="none" w:sz="0" w:space="0" w:color="auto"/>
            <w:left w:val="none" w:sz="0" w:space="0" w:color="auto"/>
            <w:bottom w:val="none" w:sz="0" w:space="0" w:color="auto"/>
            <w:right w:val="none" w:sz="0" w:space="0" w:color="auto"/>
          </w:divBdr>
        </w:div>
        <w:div w:id="1591574423">
          <w:marLeft w:val="1152"/>
          <w:marRight w:val="0"/>
          <w:marTop w:val="125"/>
          <w:marBottom w:val="0"/>
          <w:divBdr>
            <w:top w:val="none" w:sz="0" w:space="0" w:color="auto"/>
            <w:left w:val="none" w:sz="0" w:space="0" w:color="auto"/>
            <w:bottom w:val="none" w:sz="0" w:space="0" w:color="auto"/>
            <w:right w:val="none" w:sz="0" w:space="0" w:color="auto"/>
          </w:divBdr>
        </w:div>
      </w:divsChild>
    </w:div>
    <w:div w:id="2076276521">
      <w:bodyDiv w:val="1"/>
      <w:marLeft w:val="0"/>
      <w:marRight w:val="0"/>
      <w:marTop w:val="0"/>
      <w:marBottom w:val="0"/>
      <w:divBdr>
        <w:top w:val="none" w:sz="0" w:space="0" w:color="auto"/>
        <w:left w:val="none" w:sz="0" w:space="0" w:color="auto"/>
        <w:bottom w:val="none" w:sz="0" w:space="0" w:color="auto"/>
        <w:right w:val="none" w:sz="0" w:space="0" w:color="auto"/>
      </w:divBdr>
      <w:divsChild>
        <w:div w:id="1320768681">
          <w:marLeft w:val="1152"/>
          <w:marRight w:val="0"/>
          <w:marTop w:val="134"/>
          <w:marBottom w:val="0"/>
          <w:divBdr>
            <w:top w:val="none" w:sz="0" w:space="0" w:color="auto"/>
            <w:left w:val="none" w:sz="0" w:space="0" w:color="auto"/>
            <w:bottom w:val="none" w:sz="0" w:space="0" w:color="auto"/>
            <w:right w:val="none" w:sz="0" w:space="0" w:color="auto"/>
          </w:divBdr>
        </w:div>
        <w:div w:id="2111195011">
          <w:marLeft w:val="1152"/>
          <w:marRight w:val="0"/>
          <w:marTop w:val="134"/>
          <w:marBottom w:val="0"/>
          <w:divBdr>
            <w:top w:val="none" w:sz="0" w:space="0" w:color="auto"/>
            <w:left w:val="none" w:sz="0" w:space="0" w:color="auto"/>
            <w:bottom w:val="none" w:sz="0" w:space="0" w:color="auto"/>
            <w:right w:val="none" w:sz="0" w:space="0" w:color="auto"/>
          </w:divBdr>
        </w:div>
        <w:div w:id="368578897">
          <w:marLeft w:val="1152"/>
          <w:marRight w:val="0"/>
          <w:marTop w:val="134"/>
          <w:marBottom w:val="0"/>
          <w:divBdr>
            <w:top w:val="none" w:sz="0" w:space="0" w:color="auto"/>
            <w:left w:val="none" w:sz="0" w:space="0" w:color="auto"/>
            <w:bottom w:val="none" w:sz="0" w:space="0" w:color="auto"/>
            <w:right w:val="none" w:sz="0" w:space="0" w:color="auto"/>
          </w:divBdr>
        </w:div>
        <w:div w:id="1300962726">
          <w:marLeft w:val="1152"/>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Recidoro</dc:creator>
  <cp:lastModifiedBy>Ron Recidoro</cp:lastModifiedBy>
  <cp:revision>2</cp:revision>
  <cp:lastPrinted>2011-09-30T07:34:00Z</cp:lastPrinted>
  <dcterms:created xsi:type="dcterms:W3CDTF">2013-07-08T00:58:00Z</dcterms:created>
  <dcterms:modified xsi:type="dcterms:W3CDTF">2013-07-08T00:58:00Z</dcterms:modified>
</cp:coreProperties>
</file>